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4AD4FA" w14:textId="77777777" w:rsidR="00C77CE6" w:rsidRDefault="00C77CE6" w:rsidP="00270AC9">
      <w:pPr>
        <w:spacing w:after="120"/>
        <w:jc w:val="center"/>
        <w:textAlignment w:val="baseline"/>
        <w:rPr>
          <w:rFonts w:eastAsia="Times New Roman" w:cstheme="minorHAnsi"/>
          <w:b/>
          <w:color w:val="000000"/>
        </w:rPr>
      </w:pPr>
      <w:r w:rsidRPr="00CC445D">
        <w:rPr>
          <w:rFonts w:eastAsia="Times New Roman" w:cstheme="minorHAnsi"/>
          <w:b/>
          <w:color w:val="000000"/>
        </w:rPr>
        <w:t xml:space="preserve">Response of </w:t>
      </w:r>
      <w:r w:rsidR="00891F20">
        <w:rPr>
          <w:rFonts w:eastAsia="Times New Roman" w:cstheme="minorHAnsi"/>
          <w:b/>
          <w:color w:val="000000"/>
        </w:rPr>
        <w:t>For-Profit, Non-Profit, and Government-</w:t>
      </w:r>
      <w:r w:rsidR="0074568C">
        <w:rPr>
          <w:rFonts w:eastAsia="Times New Roman" w:cstheme="minorHAnsi"/>
          <w:b/>
          <w:color w:val="000000"/>
        </w:rPr>
        <w:t>O</w:t>
      </w:r>
      <w:r w:rsidR="00891F20">
        <w:rPr>
          <w:rFonts w:eastAsia="Times New Roman" w:cstheme="minorHAnsi"/>
          <w:b/>
          <w:color w:val="000000"/>
        </w:rPr>
        <w:t xml:space="preserve">wned </w:t>
      </w:r>
      <w:r w:rsidRPr="00CC445D">
        <w:rPr>
          <w:rFonts w:eastAsia="Times New Roman" w:cstheme="minorHAnsi"/>
          <w:b/>
          <w:color w:val="000000"/>
        </w:rPr>
        <w:t>Nursing Home</w:t>
      </w:r>
      <w:r w:rsidR="00891F20">
        <w:rPr>
          <w:rFonts w:eastAsia="Times New Roman" w:cstheme="minorHAnsi"/>
          <w:b/>
          <w:color w:val="000000"/>
        </w:rPr>
        <w:t>s</w:t>
      </w:r>
      <w:r w:rsidRPr="00CC445D">
        <w:rPr>
          <w:rFonts w:eastAsia="Times New Roman" w:cstheme="minorHAnsi"/>
          <w:b/>
          <w:color w:val="000000"/>
        </w:rPr>
        <w:t xml:space="preserve"> to</w:t>
      </w:r>
      <w:r w:rsidR="00891F20">
        <w:rPr>
          <w:rFonts w:eastAsia="Times New Roman" w:cstheme="minorHAnsi"/>
          <w:b/>
          <w:color w:val="000000"/>
        </w:rPr>
        <w:t xml:space="preserve"> a </w:t>
      </w:r>
      <w:r w:rsidRPr="00CC445D">
        <w:rPr>
          <w:rFonts w:eastAsia="Times New Roman" w:cstheme="minorHAnsi"/>
          <w:b/>
          <w:color w:val="000000"/>
        </w:rPr>
        <w:t>New Value-Based Reimbursement System in</w:t>
      </w:r>
      <w:r w:rsidR="00891F20">
        <w:rPr>
          <w:rFonts w:eastAsia="Times New Roman" w:cstheme="minorHAnsi"/>
          <w:b/>
          <w:color w:val="000000"/>
        </w:rPr>
        <w:t xml:space="preserve"> </w:t>
      </w:r>
      <w:r w:rsidR="0074568C">
        <w:rPr>
          <w:rFonts w:eastAsia="Times New Roman" w:cstheme="minorHAnsi"/>
          <w:b/>
          <w:color w:val="000000"/>
        </w:rPr>
        <w:t>Minnesota (US)</w:t>
      </w:r>
    </w:p>
    <w:p w14:paraId="74D98210" w14:textId="77777777" w:rsidR="00270AC9" w:rsidRDefault="00366750" w:rsidP="00270AC9">
      <w:pPr>
        <w:jc w:val="center"/>
        <w:textAlignment w:val="baseline"/>
        <w:rPr>
          <w:rFonts w:eastAsia="Times New Roman" w:cstheme="minorHAnsi"/>
          <w:bCs/>
          <w:color w:val="000000"/>
        </w:rPr>
      </w:pPr>
      <w:r>
        <w:rPr>
          <w:rFonts w:eastAsia="Times New Roman" w:cstheme="minorHAnsi"/>
          <w:bCs/>
          <w:color w:val="000000"/>
        </w:rPr>
        <w:t>Transforming Care Conference</w:t>
      </w:r>
      <w:r w:rsidR="001074B8">
        <w:rPr>
          <w:rFonts w:eastAsia="Times New Roman" w:cstheme="minorHAnsi"/>
          <w:bCs/>
          <w:color w:val="000000"/>
        </w:rPr>
        <w:t>, Copenhagen</w:t>
      </w:r>
      <w:r w:rsidR="00AE26A2">
        <w:rPr>
          <w:rFonts w:eastAsia="Times New Roman" w:cstheme="minorHAnsi"/>
          <w:bCs/>
          <w:color w:val="000000"/>
        </w:rPr>
        <w:t>,</w:t>
      </w:r>
      <w:r w:rsidR="001074B8">
        <w:rPr>
          <w:rFonts w:eastAsia="Times New Roman" w:cstheme="minorHAnsi"/>
          <w:bCs/>
          <w:color w:val="000000"/>
        </w:rPr>
        <w:t xml:space="preserve"> Denmark</w:t>
      </w:r>
    </w:p>
    <w:p w14:paraId="575F9AC5" w14:textId="77777777" w:rsidR="00AE26A2" w:rsidRPr="00366750" w:rsidRDefault="00AE26A2" w:rsidP="00270AC9">
      <w:pPr>
        <w:spacing w:after="120"/>
        <w:jc w:val="center"/>
        <w:textAlignment w:val="baseline"/>
        <w:rPr>
          <w:rFonts w:eastAsia="Times New Roman" w:cstheme="minorHAnsi"/>
          <w:bCs/>
          <w:color w:val="000000"/>
        </w:rPr>
      </w:pPr>
      <w:r>
        <w:rPr>
          <w:rFonts w:eastAsia="Times New Roman" w:cstheme="minorHAnsi"/>
          <w:bCs/>
          <w:color w:val="000000"/>
        </w:rPr>
        <w:t>25 June 2019</w:t>
      </w:r>
    </w:p>
    <w:p w14:paraId="09C15442" w14:textId="77777777" w:rsidR="00667A1E" w:rsidRPr="009510C6" w:rsidRDefault="00667A1E" w:rsidP="00270AC9">
      <w:pPr>
        <w:jc w:val="center"/>
        <w:textAlignment w:val="baseline"/>
        <w:rPr>
          <w:rFonts w:eastAsia="Times New Roman" w:cstheme="minorHAnsi"/>
          <w:bCs/>
          <w:color w:val="000000"/>
        </w:rPr>
      </w:pPr>
      <w:r w:rsidRPr="009510C6">
        <w:rPr>
          <w:rFonts w:eastAsia="Times New Roman" w:cstheme="minorHAnsi"/>
          <w:bCs/>
          <w:color w:val="000000"/>
        </w:rPr>
        <w:t>Greg Arling</w:t>
      </w:r>
      <w:r w:rsidR="005803C6" w:rsidRPr="009510C6">
        <w:rPr>
          <w:rFonts w:eastAsia="Times New Roman" w:cstheme="minorHAnsi"/>
          <w:bCs/>
          <w:color w:val="000000"/>
        </w:rPr>
        <w:t xml:space="preserve"> </w:t>
      </w:r>
      <w:r w:rsidRPr="009510C6">
        <w:rPr>
          <w:rFonts w:eastAsia="Times New Roman" w:cstheme="minorHAnsi"/>
          <w:bCs/>
          <w:color w:val="000000"/>
        </w:rPr>
        <w:t>PhD</w:t>
      </w:r>
      <w:r w:rsidR="009510C6" w:rsidRPr="009510C6">
        <w:rPr>
          <w:rFonts w:eastAsia="Times New Roman" w:cstheme="minorHAnsi"/>
          <w:bCs/>
          <w:color w:val="000000"/>
          <w:vertAlign w:val="superscript"/>
        </w:rPr>
        <w:t>1</w:t>
      </w:r>
      <w:r w:rsidRPr="009510C6">
        <w:rPr>
          <w:rFonts w:eastAsia="Times New Roman" w:cstheme="minorHAnsi"/>
          <w:bCs/>
          <w:color w:val="000000"/>
        </w:rPr>
        <w:t xml:space="preserve"> and Zachary Hass</w:t>
      </w:r>
      <w:r w:rsidR="005803C6" w:rsidRPr="009510C6">
        <w:rPr>
          <w:rFonts w:eastAsia="Times New Roman" w:cstheme="minorHAnsi"/>
          <w:bCs/>
          <w:color w:val="000000"/>
        </w:rPr>
        <w:t xml:space="preserve"> </w:t>
      </w:r>
      <w:r w:rsidRPr="009510C6">
        <w:rPr>
          <w:rFonts w:eastAsia="Times New Roman" w:cstheme="minorHAnsi"/>
          <w:bCs/>
          <w:color w:val="000000"/>
        </w:rPr>
        <w:t>PhD</w:t>
      </w:r>
      <w:r w:rsidR="009510C6" w:rsidRPr="009510C6">
        <w:rPr>
          <w:rFonts w:eastAsia="Times New Roman" w:cstheme="minorHAnsi"/>
          <w:bCs/>
          <w:color w:val="000000"/>
          <w:vertAlign w:val="superscript"/>
        </w:rPr>
        <w:t>1,2</w:t>
      </w:r>
    </w:p>
    <w:p w14:paraId="58CA0F8A" w14:textId="77777777" w:rsidR="00667A1E" w:rsidRPr="009510C6" w:rsidRDefault="009510C6" w:rsidP="00270AC9">
      <w:pPr>
        <w:jc w:val="center"/>
        <w:textAlignment w:val="baseline"/>
        <w:rPr>
          <w:rFonts w:eastAsia="Times New Roman" w:cstheme="minorHAnsi"/>
          <w:bCs/>
          <w:color w:val="000000"/>
        </w:rPr>
      </w:pPr>
      <w:r w:rsidRPr="009510C6">
        <w:rPr>
          <w:rFonts w:eastAsia="Times New Roman" w:cstheme="minorHAnsi"/>
          <w:bCs/>
          <w:color w:val="000000"/>
          <w:vertAlign w:val="superscript"/>
        </w:rPr>
        <w:t>1</w:t>
      </w:r>
      <w:r w:rsidRPr="009510C6">
        <w:rPr>
          <w:rFonts w:eastAsia="Times New Roman" w:cstheme="minorHAnsi"/>
          <w:bCs/>
          <w:color w:val="000000"/>
        </w:rPr>
        <w:t xml:space="preserve"> School of Nursing, </w:t>
      </w:r>
      <w:r w:rsidRPr="009510C6">
        <w:rPr>
          <w:rFonts w:eastAsia="Times New Roman" w:cstheme="minorHAnsi"/>
          <w:bCs/>
          <w:color w:val="000000"/>
          <w:vertAlign w:val="superscript"/>
        </w:rPr>
        <w:t>2</w:t>
      </w:r>
      <w:r w:rsidRPr="009510C6">
        <w:rPr>
          <w:rFonts w:eastAsia="Times New Roman" w:cstheme="minorHAnsi"/>
          <w:bCs/>
          <w:color w:val="000000"/>
        </w:rPr>
        <w:t xml:space="preserve"> School of Industrial Engineering, Purdue University, US</w:t>
      </w:r>
    </w:p>
    <w:p w14:paraId="5AC2F760" w14:textId="77777777" w:rsidR="009A05CB" w:rsidRDefault="009A05CB">
      <w:pPr>
        <w:rPr>
          <w:rFonts w:eastAsia="Times New Roman" w:cstheme="minorHAnsi"/>
          <w:color w:val="000000"/>
        </w:rPr>
      </w:pPr>
    </w:p>
    <w:p w14:paraId="0498FA57" w14:textId="77777777" w:rsidR="00417313" w:rsidRDefault="002C3210" w:rsidP="00F34393">
      <w:pPr>
        <w:spacing w:after="120"/>
        <w:rPr>
          <w:rFonts w:eastAsia="Times New Roman" w:cstheme="minorHAnsi"/>
          <w:i/>
          <w:iCs/>
          <w:color w:val="000000"/>
        </w:rPr>
      </w:pPr>
      <w:r w:rsidRPr="002C3210">
        <w:rPr>
          <w:rFonts w:eastAsia="Times New Roman" w:cstheme="minorHAnsi"/>
          <w:i/>
          <w:iCs/>
          <w:color w:val="000000"/>
        </w:rPr>
        <w:t>Background</w:t>
      </w:r>
      <w:r w:rsidR="00BC5725">
        <w:rPr>
          <w:rFonts w:eastAsia="Times New Roman" w:cstheme="minorHAnsi"/>
          <w:i/>
          <w:iCs/>
          <w:color w:val="000000"/>
        </w:rPr>
        <w:t xml:space="preserve">.  </w:t>
      </w:r>
      <w:r w:rsidRPr="000D6C95">
        <w:rPr>
          <w:rFonts w:eastAsia="Times New Roman" w:cstheme="minorHAnsi"/>
          <w:color w:val="000000"/>
        </w:rPr>
        <w:t>Minnesota</w:t>
      </w:r>
      <w:r>
        <w:rPr>
          <w:rFonts w:eastAsia="Times New Roman" w:cstheme="minorHAnsi"/>
          <w:color w:val="000000"/>
        </w:rPr>
        <w:t>,</w:t>
      </w:r>
      <w:r w:rsidRPr="000D6C95">
        <w:rPr>
          <w:rFonts w:eastAsia="Times New Roman" w:cstheme="minorHAnsi"/>
          <w:color w:val="000000"/>
        </w:rPr>
        <w:t xml:space="preserve"> like</w:t>
      </w:r>
      <w:r>
        <w:rPr>
          <w:rFonts w:eastAsia="Times New Roman" w:cstheme="minorHAnsi"/>
          <w:color w:val="000000"/>
        </w:rPr>
        <w:t xml:space="preserve"> other </w:t>
      </w:r>
      <w:r w:rsidRPr="000D6C95">
        <w:rPr>
          <w:rFonts w:eastAsia="Times New Roman" w:cstheme="minorHAnsi"/>
          <w:color w:val="000000"/>
        </w:rPr>
        <w:t>US states</w:t>
      </w:r>
      <w:r>
        <w:rPr>
          <w:rFonts w:eastAsia="Times New Roman" w:cstheme="minorHAnsi"/>
          <w:color w:val="000000"/>
        </w:rPr>
        <w:t>,</w:t>
      </w:r>
      <w:r w:rsidRPr="000D6C95">
        <w:rPr>
          <w:rFonts w:eastAsia="Times New Roman" w:cstheme="minorHAnsi"/>
          <w:color w:val="000000"/>
        </w:rPr>
        <w:t xml:space="preserve"> has traditionally paid </w:t>
      </w:r>
      <w:r>
        <w:rPr>
          <w:rFonts w:eastAsia="Times New Roman" w:cstheme="minorHAnsi"/>
          <w:color w:val="000000"/>
        </w:rPr>
        <w:t xml:space="preserve">for public (Medicaid) </w:t>
      </w:r>
      <w:r w:rsidRPr="000D6C95">
        <w:rPr>
          <w:rFonts w:eastAsia="Times New Roman" w:cstheme="minorHAnsi"/>
          <w:color w:val="000000"/>
        </w:rPr>
        <w:t xml:space="preserve">nursing home care without regard to </w:t>
      </w:r>
      <w:r>
        <w:rPr>
          <w:rFonts w:eastAsia="Times New Roman" w:cstheme="minorHAnsi"/>
          <w:color w:val="000000"/>
        </w:rPr>
        <w:t xml:space="preserve">its </w:t>
      </w:r>
      <w:r w:rsidRPr="000D6C95">
        <w:rPr>
          <w:rFonts w:eastAsia="Times New Roman" w:cstheme="minorHAnsi"/>
          <w:color w:val="000000"/>
        </w:rPr>
        <w:t>quality</w:t>
      </w:r>
      <w:r w:rsidR="00417313">
        <w:rPr>
          <w:rFonts w:eastAsia="Times New Roman" w:cstheme="minorHAnsi"/>
          <w:color w:val="000000"/>
        </w:rPr>
        <w:t xml:space="preserve">. </w:t>
      </w:r>
      <w:r w:rsidRPr="000D6C95">
        <w:rPr>
          <w:rFonts w:eastAsia="Times New Roman" w:cstheme="minorHAnsi"/>
          <w:color w:val="000000"/>
        </w:rPr>
        <w:t xml:space="preserve"> </w:t>
      </w:r>
      <w:r w:rsidR="00417313">
        <w:rPr>
          <w:rFonts w:eastAsia="Times New Roman" w:cstheme="minorHAnsi"/>
          <w:color w:val="000000"/>
        </w:rPr>
        <w:t xml:space="preserve">The trend toward marketization of long-term care services in the US and other countries has placed emphasis on value-based payment where payment for care is linked to its quality. </w:t>
      </w:r>
      <w:r w:rsidRPr="000D6C95">
        <w:rPr>
          <w:rFonts w:eastAsia="Times New Roman" w:cstheme="minorHAnsi"/>
          <w:color w:val="000000"/>
        </w:rPr>
        <w:t>In 2016 Minnesota introduced a nursing home value-based</w:t>
      </w:r>
      <w:r w:rsidR="00DB0E70">
        <w:rPr>
          <w:rFonts w:eastAsia="Times New Roman" w:cstheme="minorHAnsi"/>
          <w:color w:val="000000"/>
        </w:rPr>
        <w:t xml:space="preserve"> reimbursement</w:t>
      </w:r>
      <w:r w:rsidRPr="000D6C95">
        <w:rPr>
          <w:rFonts w:eastAsia="Times New Roman" w:cstheme="minorHAnsi"/>
          <w:color w:val="000000"/>
        </w:rPr>
        <w:t xml:space="preserve"> system </w:t>
      </w:r>
      <w:r>
        <w:rPr>
          <w:rFonts w:eastAsia="Times New Roman" w:cstheme="minorHAnsi"/>
          <w:color w:val="000000"/>
        </w:rPr>
        <w:t xml:space="preserve">(VBR) </w:t>
      </w:r>
      <w:r w:rsidRPr="000D6C95">
        <w:rPr>
          <w:rFonts w:eastAsia="Times New Roman" w:cstheme="minorHAnsi"/>
          <w:color w:val="000000"/>
        </w:rPr>
        <w:t xml:space="preserve">intended to pay nursing homes according to </w:t>
      </w:r>
      <w:r w:rsidR="00DB0E70">
        <w:rPr>
          <w:rFonts w:eastAsia="Times New Roman" w:cstheme="minorHAnsi"/>
          <w:color w:val="000000"/>
        </w:rPr>
        <w:t>a composite quality score</w:t>
      </w:r>
      <w:r w:rsidRPr="000D6C95">
        <w:rPr>
          <w:rFonts w:eastAsia="Times New Roman" w:cstheme="minorHAnsi"/>
          <w:color w:val="000000"/>
        </w:rPr>
        <w:t xml:space="preserve">.  </w:t>
      </w:r>
      <w:r>
        <w:rPr>
          <w:rFonts w:eastAsia="Times New Roman" w:cstheme="minorHAnsi"/>
          <w:color w:val="000000"/>
        </w:rPr>
        <w:t>In addition, t</w:t>
      </w:r>
      <w:r w:rsidRPr="000D6C95">
        <w:rPr>
          <w:rFonts w:eastAsia="Times New Roman" w:cstheme="minorHAnsi"/>
          <w:color w:val="000000"/>
        </w:rPr>
        <w:t xml:space="preserve">he state </w:t>
      </w:r>
      <w:r>
        <w:rPr>
          <w:rFonts w:eastAsia="Times New Roman" w:cstheme="minorHAnsi"/>
          <w:color w:val="000000"/>
        </w:rPr>
        <w:t xml:space="preserve">substantially increased the Medicaid nursing home </w:t>
      </w:r>
      <w:r w:rsidRPr="000D6C95">
        <w:rPr>
          <w:rFonts w:eastAsia="Times New Roman" w:cstheme="minorHAnsi"/>
          <w:color w:val="000000"/>
        </w:rPr>
        <w:t xml:space="preserve">budget with </w:t>
      </w:r>
      <w:r>
        <w:rPr>
          <w:rFonts w:eastAsia="Times New Roman" w:cstheme="minorHAnsi"/>
          <w:color w:val="000000"/>
        </w:rPr>
        <w:t xml:space="preserve">additional funds </w:t>
      </w:r>
      <w:r w:rsidRPr="000D6C95">
        <w:rPr>
          <w:rFonts w:eastAsia="Times New Roman" w:cstheme="minorHAnsi"/>
          <w:color w:val="000000"/>
        </w:rPr>
        <w:t>earmarked for</w:t>
      </w:r>
      <w:r>
        <w:rPr>
          <w:rFonts w:eastAsia="Times New Roman" w:cstheme="minorHAnsi"/>
          <w:color w:val="000000"/>
        </w:rPr>
        <w:t xml:space="preserve"> nursing and other care-related services and an efficiency incentive for other rate components</w:t>
      </w:r>
      <w:r w:rsidRPr="000D6C95">
        <w:rPr>
          <w:rFonts w:eastAsia="Times New Roman" w:cstheme="minorHAnsi"/>
          <w:color w:val="000000"/>
        </w:rPr>
        <w:t>.</w:t>
      </w:r>
    </w:p>
    <w:p w14:paraId="7BC8949F" w14:textId="77777777" w:rsidR="00BC5725" w:rsidRPr="00F34393" w:rsidRDefault="002C3210" w:rsidP="00F34393">
      <w:pPr>
        <w:spacing w:after="120"/>
        <w:textAlignment w:val="baseline"/>
        <w:rPr>
          <w:rFonts w:eastAsia="Times New Roman" w:cstheme="minorHAnsi"/>
          <w:i/>
          <w:iCs/>
          <w:color w:val="000000"/>
        </w:rPr>
      </w:pPr>
      <w:r w:rsidRPr="002C3210">
        <w:rPr>
          <w:rFonts w:eastAsia="Times New Roman" w:cstheme="minorHAnsi"/>
          <w:i/>
          <w:iCs/>
          <w:color w:val="000000"/>
        </w:rPr>
        <w:t>Objectiv</w:t>
      </w:r>
      <w:r w:rsidR="00BC5725">
        <w:rPr>
          <w:rFonts w:eastAsia="Times New Roman" w:cstheme="minorHAnsi"/>
          <w:i/>
          <w:iCs/>
          <w:color w:val="000000"/>
        </w:rPr>
        <w:t xml:space="preserve">e. </w:t>
      </w:r>
      <w:r w:rsidR="00BC5725">
        <w:rPr>
          <w:rFonts w:eastAsia="Times New Roman" w:cstheme="minorHAnsi"/>
          <w:color w:val="000000"/>
        </w:rPr>
        <w:t xml:space="preserve">We </w:t>
      </w:r>
      <w:r w:rsidR="00BC5725" w:rsidRPr="000D6C95">
        <w:rPr>
          <w:rFonts w:eastAsia="Times New Roman" w:cstheme="minorHAnsi"/>
          <w:color w:val="000000"/>
        </w:rPr>
        <w:t xml:space="preserve">conducted an evaluation </w:t>
      </w:r>
      <w:r w:rsidR="00BC5725">
        <w:rPr>
          <w:rFonts w:eastAsia="Times New Roman" w:cstheme="minorHAnsi"/>
          <w:color w:val="000000"/>
        </w:rPr>
        <w:t>of VBR to determine its effectiveness in meeting state policy goals</w:t>
      </w:r>
      <w:r w:rsidR="00BC5725" w:rsidRPr="000D6C95">
        <w:rPr>
          <w:rFonts w:eastAsia="Times New Roman" w:cstheme="minorHAnsi"/>
          <w:color w:val="000000"/>
        </w:rPr>
        <w:t>.</w:t>
      </w:r>
      <w:r w:rsidR="00BC5725">
        <w:rPr>
          <w:rFonts w:eastAsia="Times New Roman" w:cstheme="minorHAnsi"/>
          <w:color w:val="000000"/>
        </w:rPr>
        <w:t xml:space="preserve"> One evaluation question involved the differential response to VBR by for-profit, non-profit and government-owned facilities.  In particular, we wanted to know if for-profit firms would be more responsive than non-profit or government-owned firms to this market-oriented payment approach.</w:t>
      </w:r>
    </w:p>
    <w:p w14:paraId="58FAA0BB" w14:textId="42769C47" w:rsidR="002C3210" w:rsidRDefault="002C3210" w:rsidP="00F34393">
      <w:pPr>
        <w:spacing w:after="120"/>
        <w:textAlignment w:val="baseline"/>
        <w:rPr>
          <w:rFonts w:cstheme="minorHAnsi"/>
        </w:rPr>
      </w:pPr>
      <w:r w:rsidRPr="00BC5725">
        <w:rPr>
          <w:rFonts w:eastAsia="Times New Roman" w:cstheme="minorHAnsi"/>
          <w:bCs/>
          <w:i/>
          <w:iCs/>
          <w:color w:val="000000"/>
        </w:rPr>
        <w:t>Methods</w:t>
      </w:r>
      <w:r w:rsidR="00BC5725" w:rsidRPr="00BC5725">
        <w:rPr>
          <w:rFonts w:eastAsia="Times New Roman" w:cstheme="minorHAnsi"/>
          <w:bCs/>
          <w:i/>
          <w:iCs/>
          <w:color w:val="000000"/>
        </w:rPr>
        <w:t>.</w:t>
      </w:r>
      <w:r w:rsidR="00BC5725">
        <w:rPr>
          <w:rFonts w:eastAsia="Times New Roman" w:cstheme="minorHAnsi"/>
          <w:bCs/>
          <w:i/>
          <w:iCs/>
          <w:color w:val="000000"/>
        </w:rPr>
        <w:t xml:space="preserve"> </w:t>
      </w:r>
      <w:r w:rsidRPr="000D6C95">
        <w:rPr>
          <w:rFonts w:cstheme="minorHAnsi"/>
        </w:rPr>
        <w:t xml:space="preserve">Because VBR was implemented statewide at a single point in time, we </w:t>
      </w:r>
      <w:r>
        <w:rPr>
          <w:rFonts w:cstheme="minorHAnsi"/>
        </w:rPr>
        <w:t xml:space="preserve">lacked a natural </w:t>
      </w:r>
      <w:r w:rsidRPr="000D6C95">
        <w:rPr>
          <w:rFonts w:cstheme="minorHAnsi"/>
        </w:rPr>
        <w:t>comparison group</w:t>
      </w:r>
      <w:r>
        <w:rPr>
          <w:rFonts w:cstheme="minorHAnsi"/>
        </w:rPr>
        <w:t>.</w:t>
      </w:r>
      <w:r w:rsidRPr="000D6C95">
        <w:rPr>
          <w:rFonts w:cstheme="minorHAnsi"/>
        </w:rPr>
        <w:t xml:space="preserve"> We </w:t>
      </w:r>
      <w:r>
        <w:rPr>
          <w:rFonts w:cstheme="minorHAnsi"/>
        </w:rPr>
        <w:t xml:space="preserve">relied instead on </w:t>
      </w:r>
      <w:r w:rsidRPr="000D6C95">
        <w:rPr>
          <w:rFonts w:cstheme="minorHAnsi"/>
        </w:rPr>
        <w:t xml:space="preserve">pre/post design </w:t>
      </w:r>
      <w:r>
        <w:rPr>
          <w:rFonts w:cstheme="minorHAnsi"/>
        </w:rPr>
        <w:t xml:space="preserve">tracking </w:t>
      </w:r>
      <w:r w:rsidRPr="000D6C95">
        <w:rPr>
          <w:rFonts w:cstheme="minorHAnsi"/>
        </w:rPr>
        <w:t>trends in outcomes, before (2013-2015) and after (201</w:t>
      </w:r>
      <w:r>
        <w:rPr>
          <w:rFonts w:cstheme="minorHAnsi"/>
        </w:rPr>
        <w:t>6</w:t>
      </w:r>
      <w:r w:rsidRPr="000D6C95">
        <w:rPr>
          <w:rFonts w:cstheme="minorHAnsi"/>
        </w:rPr>
        <w:t>-201</w:t>
      </w:r>
      <w:r>
        <w:rPr>
          <w:rFonts w:cstheme="minorHAnsi"/>
        </w:rPr>
        <w:t>7</w:t>
      </w:r>
      <w:r w:rsidRPr="000D6C95">
        <w:rPr>
          <w:rFonts w:cstheme="minorHAnsi"/>
        </w:rPr>
        <w:t xml:space="preserve">) implementation of VBR. </w:t>
      </w:r>
      <w:r>
        <w:rPr>
          <w:rFonts w:cstheme="minorHAnsi"/>
        </w:rPr>
        <w:t xml:space="preserve"> The </w:t>
      </w:r>
      <w:r w:rsidRPr="000D6C95">
        <w:rPr>
          <w:rFonts w:cstheme="minorHAnsi"/>
        </w:rPr>
        <w:t xml:space="preserve">sample consisted of </w:t>
      </w:r>
      <w:r>
        <w:rPr>
          <w:rFonts w:cstheme="minorHAnsi"/>
        </w:rPr>
        <w:t xml:space="preserve">348 Minnesota nursing </w:t>
      </w:r>
      <w:r w:rsidRPr="000D6C95">
        <w:rPr>
          <w:rFonts w:cstheme="minorHAnsi"/>
        </w:rPr>
        <w:t>facilities</w:t>
      </w:r>
      <w:r>
        <w:rPr>
          <w:rFonts w:cstheme="minorHAnsi"/>
        </w:rPr>
        <w:t xml:space="preserve">. Ownership was </w:t>
      </w:r>
      <w:r w:rsidR="00BC5725">
        <w:rPr>
          <w:rFonts w:cstheme="minorHAnsi"/>
        </w:rPr>
        <w:t>29</w:t>
      </w:r>
      <w:r>
        <w:rPr>
          <w:rFonts w:cstheme="minorHAnsi"/>
        </w:rPr>
        <w:t xml:space="preserve">% for-profit, 61% non-profit, and </w:t>
      </w:r>
      <w:r w:rsidR="00BC5725">
        <w:rPr>
          <w:rFonts w:cstheme="minorHAnsi"/>
        </w:rPr>
        <w:t>10</w:t>
      </w:r>
      <w:r>
        <w:rPr>
          <w:rFonts w:cstheme="minorHAnsi"/>
        </w:rPr>
        <w:t xml:space="preserve">% governmental. Facility-level </w:t>
      </w:r>
      <w:r w:rsidRPr="000D6C95">
        <w:rPr>
          <w:rFonts w:cstheme="minorHAnsi"/>
        </w:rPr>
        <w:t xml:space="preserve">variables included per resident day (PRD) </w:t>
      </w:r>
      <w:r w:rsidR="00BC5725">
        <w:rPr>
          <w:rFonts w:cstheme="minorHAnsi"/>
        </w:rPr>
        <w:t>reported costs</w:t>
      </w:r>
      <w:r w:rsidR="00686042">
        <w:rPr>
          <w:rFonts w:cstheme="minorHAnsi"/>
        </w:rPr>
        <w:t>;</w:t>
      </w:r>
      <w:r w:rsidRPr="000D6C95">
        <w:rPr>
          <w:rFonts w:cstheme="minorHAnsi"/>
        </w:rPr>
        <w:t xml:space="preserve"> </w:t>
      </w:r>
      <w:r w:rsidR="00BC5725">
        <w:rPr>
          <w:rFonts w:cstheme="minorHAnsi"/>
        </w:rPr>
        <w:t xml:space="preserve">a </w:t>
      </w:r>
      <w:r w:rsidR="00686042">
        <w:rPr>
          <w:rFonts w:cstheme="minorHAnsi"/>
        </w:rPr>
        <w:t xml:space="preserve">composite </w:t>
      </w:r>
      <w:r w:rsidRPr="000D6C95">
        <w:rPr>
          <w:rFonts w:cstheme="minorHAnsi"/>
        </w:rPr>
        <w:t>care quality</w:t>
      </w:r>
      <w:r>
        <w:rPr>
          <w:rFonts w:cstheme="minorHAnsi"/>
        </w:rPr>
        <w:t xml:space="preserve"> score derived from clinical quality indicators, quality of life survey results, and regulatory findings</w:t>
      </w:r>
      <w:r w:rsidR="00686042">
        <w:rPr>
          <w:rFonts w:cstheme="minorHAnsi"/>
        </w:rPr>
        <w:t xml:space="preserve">; occupancy rates; and other facility characteristics as covariates. </w:t>
      </w:r>
      <w:r>
        <w:rPr>
          <w:rFonts w:cstheme="minorHAnsi"/>
        </w:rPr>
        <w:t>D</w:t>
      </w:r>
      <w:r w:rsidRPr="000D6C95">
        <w:rPr>
          <w:rFonts w:cstheme="minorHAnsi"/>
        </w:rPr>
        <w:t>ata came from Medicaid cost reports</w:t>
      </w:r>
      <w:r>
        <w:rPr>
          <w:rFonts w:cstheme="minorHAnsi"/>
        </w:rPr>
        <w:t xml:space="preserve">, </w:t>
      </w:r>
      <w:r w:rsidRPr="000D6C95">
        <w:rPr>
          <w:rFonts w:cstheme="minorHAnsi"/>
        </w:rPr>
        <w:t>other administrative files</w:t>
      </w:r>
      <w:r>
        <w:rPr>
          <w:rFonts w:cstheme="minorHAnsi"/>
        </w:rPr>
        <w:t xml:space="preserve">, and </w:t>
      </w:r>
      <w:r w:rsidRPr="000D6C95">
        <w:rPr>
          <w:rFonts w:cstheme="minorHAnsi"/>
        </w:rPr>
        <w:t xml:space="preserve">the Minnesota Nursing Home </w:t>
      </w:r>
      <w:r>
        <w:rPr>
          <w:rFonts w:cstheme="minorHAnsi"/>
        </w:rPr>
        <w:t xml:space="preserve">Quality </w:t>
      </w:r>
      <w:r w:rsidRPr="000D6C95">
        <w:rPr>
          <w:rFonts w:cstheme="minorHAnsi"/>
        </w:rPr>
        <w:t>Report Card.</w:t>
      </w:r>
      <w:r>
        <w:rPr>
          <w:rFonts w:cstheme="minorHAnsi"/>
        </w:rPr>
        <w:t xml:space="preserve"> </w:t>
      </w:r>
      <w:r w:rsidR="00686042">
        <w:rPr>
          <w:rFonts w:cstheme="minorHAnsi"/>
        </w:rPr>
        <w:t>We estimated mixed effect growth models to examine VBR and ownership effects on expenditure patterns, quality score, and occupancy rates.</w:t>
      </w:r>
    </w:p>
    <w:p w14:paraId="21F50146" w14:textId="77777777" w:rsidR="00F34393" w:rsidRPr="00F34393" w:rsidRDefault="002C3210" w:rsidP="00F34393">
      <w:pPr>
        <w:spacing w:after="120"/>
        <w:rPr>
          <w:rFonts w:cstheme="minorHAnsi"/>
          <w:b/>
        </w:rPr>
      </w:pPr>
      <w:r w:rsidRPr="00F34393">
        <w:rPr>
          <w:rFonts w:cstheme="minorHAnsi"/>
          <w:bCs/>
          <w:i/>
          <w:iCs/>
        </w:rPr>
        <w:t>Findings</w:t>
      </w:r>
      <w:r w:rsidR="00F34393" w:rsidRPr="00F34393">
        <w:rPr>
          <w:rFonts w:cstheme="minorHAnsi"/>
          <w:bCs/>
          <w:i/>
          <w:iCs/>
        </w:rPr>
        <w:t>.</w:t>
      </w:r>
      <w:r w:rsidR="00F34393">
        <w:rPr>
          <w:rFonts w:cstheme="minorHAnsi"/>
          <w:b/>
        </w:rPr>
        <w:t xml:space="preserve"> </w:t>
      </w:r>
      <w:r w:rsidR="0050031C">
        <w:rPr>
          <w:rFonts w:cstheme="minorHAnsi"/>
          <w:bCs/>
        </w:rPr>
        <w:t xml:space="preserve">The introduction of </w:t>
      </w:r>
      <w:r w:rsidR="00F34393">
        <w:rPr>
          <w:rFonts w:eastAsiaTheme="minorEastAsia"/>
        </w:rPr>
        <w:t xml:space="preserve">VBR </w:t>
      </w:r>
      <w:r w:rsidR="0050031C">
        <w:rPr>
          <w:rFonts w:eastAsiaTheme="minorEastAsia"/>
        </w:rPr>
        <w:t xml:space="preserve">did not significantly </w:t>
      </w:r>
      <w:r w:rsidR="00F34393">
        <w:rPr>
          <w:rFonts w:eastAsiaTheme="minorEastAsia"/>
        </w:rPr>
        <w:t>increas</w:t>
      </w:r>
      <w:r w:rsidR="0050031C">
        <w:rPr>
          <w:rFonts w:eastAsiaTheme="minorEastAsia"/>
        </w:rPr>
        <w:t>e</w:t>
      </w:r>
      <w:r w:rsidR="00F34393">
        <w:rPr>
          <w:rFonts w:eastAsiaTheme="minorEastAsia"/>
        </w:rPr>
        <w:t xml:space="preserve"> care quality.  The quality </w:t>
      </w:r>
      <w:r w:rsidR="00F34393" w:rsidRPr="00B2259F">
        <w:rPr>
          <w:rFonts w:eastAsiaTheme="minorEastAsia"/>
        </w:rPr>
        <w:t xml:space="preserve">score </w:t>
      </w:r>
      <w:r w:rsidR="00F34393">
        <w:rPr>
          <w:rFonts w:eastAsiaTheme="minorEastAsia"/>
        </w:rPr>
        <w:t>for non-profit and governmental facilities</w:t>
      </w:r>
      <w:r w:rsidR="00F34393" w:rsidRPr="00B2259F">
        <w:rPr>
          <w:rFonts w:eastAsiaTheme="minorEastAsia"/>
        </w:rPr>
        <w:t xml:space="preserve"> </w:t>
      </w:r>
      <w:r w:rsidR="00F34393">
        <w:rPr>
          <w:rFonts w:eastAsiaTheme="minorEastAsia"/>
        </w:rPr>
        <w:t xml:space="preserve">trended slightly upward </w:t>
      </w:r>
      <w:r w:rsidR="00F34393" w:rsidRPr="00B2259F">
        <w:rPr>
          <w:rFonts w:eastAsiaTheme="minorEastAsia"/>
        </w:rPr>
        <w:t>across</w:t>
      </w:r>
      <w:r w:rsidR="00F34393">
        <w:rPr>
          <w:rFonts w:eastAsiaTheme="minorEastAsia"/>
        </w:rPr>
        <w:t xml:space="preserve"> both the per-VBR and VBR periods; whereas, the trend among for-profit facilities was relatively flat.  For-profit facilities continued to fall below non-profit and governmental facilities in their care quality throughout the 2013-2017 period.</w:t>
      </w:r>
      <w:r w:rsidR="00F34393">
        <w:rPr>
          <w:rFonts w:cstheme="minorHAnsi"/>
          <w:b/>
        </w:rPr>
        <w:t xml:space="preserve"> </w:t>
      </w:r>
      <w:r w:rsidR="00F34393">
        <w:rPr>
          <w:rFonts w:eastAsiaTheme="minorEastAsia"/>
        </w:rPr>
        <w:t>Occupancy rates among for-profit facilities also fell significantly below rates for non-profit and governmental facilities.  For-profits facilities were no better at attracting residents in the nursing home market after the implementation of VBR. In fact, they trended downward in occupancy after VBR, widening the gap between themselves and the non-profits and governmental facilities.</w:t>
      </w:r>
    </w:p>
    <w:p w14:paraId="4F3E9E04" w14:textId="77777777" w:rsidR="00704777" w:rsidRPr="00F34393" w:rsidRDefault="002C3210" w:rsidP="00F34393">
      <w:pPr>
        <w:spacing w:after="120"/>
        <w:textAlignment w:val="baseline"/>
        <w:rPr>
          <w:rFonts w:eastAsia="Times New Roman" w:cstheme="minorHAnsi"/>
          <w:color w:val="000000"/>
        </w:rPr>
      </w:pPr>
      <w:r w:rsidRPr="00F34393">
        <w:rPr>
          <w:rFonts w:eastAsia="Times New Roman" w:cstheme="minorHAnsi"/>
          <w:bCs/>
          <w:i/>
          <w:iCs/>
          <w:color w:val="000000"/>
        </w:rPr>
        <w:t>Conclusion</w:t>
      </w:r>
      <w:r w:rsidR="00F34393" w:rsidRPr="00F34393">
        <w:rPr>
          <w:rFonts w:eastAsia="Times New Roman" w:cstheme="minorHAnsi"/>
          <w:bCs/>
          <w:i/>
          <w:iCs/>
          <w:color w:val="000000"/>
        </w:rPr>
        <w:t>.</w:t>
      </w:r>
      <w:r w:rsidR="00F34393">
        <w:rPr>
          <w:rFonts w:eastAsia="Times New Roman" w:cstheme="minorHAnsi"/>
          <w:color w:val="000000"/>
        </w:rPr>
        <w:t xml:space="preserve"> </w:t>
      </w:r>
      <w:r w:rsidR="0050031C">
        <w:rPr>
          <w:rFonts w:eastAsiaTheme="minorEastAsia"/>
        </w:rPr>
        <w:t xml:space="preserve">We </w:t>
      </w:r>
      <w:r w:rsidR="00704777">
        <w:rPr>
          <w:rFonts w:eastAsiaTheme="minorEastAsia"/>
        </w:rPr>
        <w:t xml:space="preserve">found no evidence that for-profit facilities were more responsive to the VBR system than the other ownership types.  Compared to for-profits, non-profit and governmental </w:t>
      </w:r>
      <w:r w:rsidR="00704777">
        <w:rPr>
          <w:rFonts w:eastAsiaTheme="minorEastAsia"/>
        </w:rPr>
        <w:lastRenderedPageBreak/>
        <w:t>facilities continued to spend more on nursing and other care related services, deliver higher quality of care, and be more attractive to consumers as evidenced by their consistently higher occupancy rates.</w:t>
      </w:r>
    </w:p>
    <w:p w14:paraId="3040D326" w14:textId="77777777" w:rsidR="009A05CB" w:rsidRDefault="009A05CB">
      <w:pPr>
        <w:rPr>
          <w:rFonts w:eastAsia="Times New Roman" w:cstheme="minorHAnsi"/>
          <w:color w:val="000000"/>
        </w:rPr>
      </w:pPr>
    </w:p>
    <w:p w14:paraId="41F12E86" w14:textId="77777777" w:rsidR="009A05CB" w:rsidRDefault="009A05CB">
      <w:pPr>
        <w:rPr>
          <w:rFonts w:eastAsia="Times New Roman" w:cstheme="minorHAnsi"/>
          <w:color w:val="000000"/>
        </w:rPr>
      </w:pPr>
      <w:r>
        <w:rPr>
          <w:rFonts w:eastAsia="Times New Roman" w:cstheme="minorHAnsi"/>
          <w:color w:val="000000"/>
        </w:rPr>
        <w:br w:type="page"/>
      </w:r>
    </w:p>
    <w:p w14:paraId="5C929CBA" w14:textId="77777777" w:rsidR="009510C6" w:rsidRPr="00665DB7" w:rsidRDefault="009A05CB" w:rsidP="009510C6">
      <w:pPr>
        <w:spacing w:line="360" w:lineRule="auto"/>
        <w:textAlignment w:val="baseline"/>
        <w:rPr>
          <w:rFonts w:eastAsia="Times New Roman" w:cstheme="minorHAnsi"/>
          <w:b/>
          <w:bCs/>
          <w:color w:val="000000"/>
        </w:rPr>
      </w:pPr>
      <w:r w:rsidRPr="00665DB7">
        <w:rPr>
          <w:rFonts w:eastAsia="Times New Roman" w:cstheme="minorHAnsi"/>
          <w:b/>
          <w:bCs/>
          <w:color w:val="000000"/>
        </w:rPr>
        <w:lastRenderedPageBreak/>
        <w:t>Introduction</w:t>
      </w:r>
    </w:p>
    <w:p w14:paraId="7F93616F" w14:textId="77777777" w:rsidR="00CC445D" w:rsidRDefault="00C77CE6" w:rsidP="004D6B0D">
      <w:pPr>
        <w:spacing w:line="360" w:lineRule="auto"/>
        <w:ind w:firstLine="720"/>
        <w:textAlignment w:val="baseline"/>
        <w:rPr>
          <w:rFonts w:eastAsia="Times New Roman" w:cstheme="minorHAnsi"/>
          <w:color w:val="000000"/>
        </w:rPr>
      </w:pPr>
      <w:r w:rsidRPr="000D6C95">
        <w:rPr>
          <w:rFonts w:eastAsia="Times New Roman" w:cstheme="minorHAnsi"/>
          <w:color w:val="000000"/>
        </w:rPr>
        <w:t>Minnesota</w:t>
      </w:r>
      <w:r w:rsidR="00606737">
        <w:rPr>
          <w:rFonts w:eastAsia="Times New Roman" w:cstheme="minorHAnsi"/>
          <w:color w:val="000000"/>
        </w:rPr>
        <w:t>,</w:t>
      </w:r>
      <w:r w:rsidRPr="000D6C95">
        <w:rPr>
          <w:rFonts w:eastAsia="Times New Roman" w:cstheme="minorHAnsi"/>
          <w:color w:val="000000"/>
        </w:rPr>
        <w:t xml:space="preserve"> like</w:t>
      </w:r>
      <w:r w:rsidR="00081DE6">
        <w:rPr>
          <w:rFonts w:eastAsia="Times New Roman" w:cstheme="minorHAnsi"/>
          <w:color w:val="000000"/>
        </w:rPr>
        <w:t xml:space="preserve"> other </w:t>
      </w:r>
      <w:r w:rsidRPr="000D6C95">
        <w:rPr>
          <w:rFonts w:eastAsia="Times New Roman" w:cstheme="minorHAnsi"/>
          <w:color w:val="000000"/>
        </w:rPr>
        <w:t>US states</w:t>
      </w:r>
      <w:r w:rsidR="00606737">
        <w:rPr>
          <w:rFonts w:eastAsia="Times New Roman" w:cstheme="minorHAnsi"/>
          <w:color w:val="000000"/>
        </w:rPr>
        <w:t>,</w:t>
      </w:r>
      <w:r w:rsidRPr="000D6C95">
        <w:rPr>
          <w:rFonts w:eastAsia="Times New Roman" w:cstheme="minorHAnsi"/>
          <w:color w:val="000000"/>
        </w:rPr>
        <w:t xml:space="preserve"> has traditionally pai</w:t>
      </w:r>
      <w:r w:rsidR="00D12609">
        <w:rPr>
          <w:rFonts w:eastAsia="Times New Roman" w:cstheme="minorHAnsi"/>
          <w:color w:val="000000"/>
        </w:rPr>
        <w:t>d</w:t>
      </w:r>
      <w:r w:rsidRPr="000D6C95">
        <w:rPr>
          <w:rFonts w:eastAsia="Times New Roman" w:cstheme="minorHAnsi"/>
          <w:color w:val="000000"/>
        </w:rPr>
        <w:t xml:space="preserve"> nursing</w:t>
      </w:r>
      <w:r w:rsidR="001525BB">
        <w:rPr>
          <w:rFonts w:eastAsia="Times New Roman" w:cstheme="minorHAnsi"/>
          <w:color w:val="000000"/>
        </w:rPr>
        <w:t xml:space="preserve"> facilities</w:t>
      </w:r>
      <w:r w:rsidR="00D12609">
        <w:rPr>
          <w:rFonts w:eastAsia="Times New Roman" w:cstheme="minorHAnsi"/>
          <w:color w:val="000000"/>
        </w:rPr>
        <w:t xml:space="preserve"> </w:t>
      </w:r>
      <w:r w:rsidRPr="000D6C95">
        <w:rPr>
          <w:rFonts w:eastAsia="Times New Roman" w:cstheme="minorHAnsi"/>
          <w:color w:val="000000"/>
        </w:rPr>
        <w:t>without regard t</w:t>
      </w:r>
      <w:r w:rsidR="00D12609">
        <w:rPr>
          <w:rFonts w:eastAsia="Times New Roman" w:cstheme="minorHAnsi"/>
          <w:color w:val="000000"/>
        </w:rPr>
        <w:t xml:space="preserve">o their </w:t>
      </w:r>
      <w:r w:rsidR="00C04563">
        <w:rPr>
          <w:rFonts w:eastAsia="Times New Roman" w:cstheme="minorHAnsi"/>
          <w:color w:val="000000"/>
        </w:rPr>
        <w:t xml:space="preserve">care </w:t>
      </w:r>
      <w:r w:rsidRPr="000D6C95">
        <w:rPr>
          <w:rFonts w:eastAsia="Times New Roman" w:cstheme="minorHAnsi"/>
          <w:color w:val="000000"/>
        </w:rPr>
        <w:t>quality</w:t>
      </w:r>
      <w:r w:rsidR="009F3A0C">
        <w:rPr>
          <w:rFonts w:eastAsia="Times New Roman" w:cstheme="minorHAnsi"/>
          <w:color w:val="000000"/>
        </w:rPr>
        <w:t xml:space="preserve">, </w:t>
      </w:r>
      <w:r w:rsidR="001525BB">
        <w:rPr>
          <w:rFonts w:eastAsia="Times New Roman" w:cstheme="minorHAnsi"/>
          <w:color w:val="000000"/>
        </w:rPr>
        <w:t xml:space="preserve">amount of </w:t>
      </w:r>
      <w:r w:rsidR="00EA7AD6" w:rsidRPr="000D6C95">
        <w:rPr>
          <w:rFonts w:eastAsia="Times New Roman" w:cstheme="minorHAnsi"/>
          <w:color w:val="000000"/>
        </w:rPr>
        <w:t xml:space="preserve">nursing </w:t>
      </w:r>
      <w:r w:rsidR="001525BB">
        <w:rPr>
          <w:rFonts w:eastAsia="Times New Roman" w:cstheme="minorHAnsi"/>
          <w:color w:val="000000"/>
        </w:rPr>
        <w:t xml:space="preserve">or direct care </w:t>
      </w:r>
      <w:r w:rsidR="00EA7AD6" w:rsidRPr="000D6C95">
        <w:rPr>
          <w:rFonts w:eastAsia="Times New Roman" w:cstheme="minorHAnsi"/>
          <w:color w:val="000000"/>
        </w:rPr>
        <w:t>services</w:t>
      </w:r>
      <w:r w:rsidR="009F3A0C">
        <w:rPr>
          <w:rFonts w:eastAsia="Times New Roman" w:cstheme="minorHAnsi"/>
          <w:color w:val="000000"/>
        </w:rPr>
        <w:t>, or profits</w:t>
      </w:r>
      <w:r w:rsidRPr="000D6C95">
        <w:rPr>
          <w:rFonts w:eastAsia="Times New Roman" w:cstheme="minorHAnsi"/>
          <w:color w:val="000000"/>
        </w:rPr>
        <w:t xml:space="preserve">.  </w:t>
      </w:r>
      <w:r w:rsidR="00DB0E70">
        <w:rPr>
          <w:rFonts w:eastAsia="Times New Roman" w:cstheme="minorHAnsi"/>
          <w:color w:val="000000"/>
        </w:rPr>
        <w:t>The trend toward marketization of long-term care services in the US and other countries has placed emphasis on value-based payment where payment for care is linked to its quality.</w:t>
      </w:r>
      <w:r w:rsidR="00BC5725">
        <w:rPr>
          <w:rFonts w:eastAsia="Times New Roman" w:cstheme="minorHAnsi"/>
          <w:color w:val="000000"/>
        </w:rPr>
        <w:t xml:space="preserve"> </w:t>
      </w:r>
      <w:r w:rsidR="0079300E" w:rsidRPr="000D6C95">
        <w:rPr>
          <w:rFonts w:eastAsia="Times New Roman" w:cstheme="minorHAnsi"/>
          <w:color w:val="000000"/>
        </w:rPr>
        <w:t xml:space="preserve">In 2016 Minnesota </w:t>
      </w:r>
      <w:r w:rsidR="00111E0F" w:rsidRPr="000D6C95">
        <w:rPr>
          <w:rFonts w:eastAsia="Times New Roman" w:cstheme="minorHAnsi"/>
          <w:color w:val="000000"/>
        </w:rPr>
        <w:t xml:space="preserve">introduced a nursing home </w:t>
      </w:r>
      <w:r w:rsidRPr="000D6C95">
        <w:rPr>
          <w:rFonts w:eastAsia="Times New Roman" w:cstheme="minorHAnsi"/>
          <w:color w:val="000000"/>
        </w:rPr>
        <w:t xml:space="preserve">value-based </w:t>
      </w:r>
      <w:r w:rsidR="00D12609">
        <w:rPr>
          <w:rFonts w:eastAsia="Times New Roman" w:cstheme="minorHAnsi"/>
          <w:color w:val="000000"/>
        </w:rPr>
        <w:t>reimbursement</w:t>
      </w:r>
      <w:r w:rsidR="00111E0F" w:rsidRPr="000D6C95">
        <w:rPr>
          <w:rFonts w:eastAsia="Times New Roman" w:cstheme="minorHAnsi"/>
          <w:color w:val="000000"/>
        </w:rPr>
        <w:t xml:space="preserve"> system</w:t>
      </w:r>
      <w:r w:rsidR="00EA7AD6" w:rsidRPr="000D6C95">
        <w:rPr>
          <w:rFonts w:eastAsia="Times New Roman" w:cstheme="minorHAnsi"/>
          <w:color w:val="000000"/>
        </w:rPr>
        <w:t xml:space="preserve"> </w:t>
      </w:r>
      <w:r w:rsidR="00F947CB">
        <w:rPr>
          <w:rFonts w:eastAsia="Times New Roman" w:cstheme="minorHAnsi"/>
          <w:color w:val="000000"/>
        </w:rPr>
        <w:t xml:space="preserve">(VBR) </w:t>
      </w:r>
      <w:r w:rsidR="001525BB">
        <w:rPr>
          <w:rFonts w:eastAsia="Times New Roman" w:cstheme="minorHAnsi"/>
          <w:color w:val="000000"/>
        </w:rPr>
        <w:t xml:space="preserve">aimed at incentivizing better care </w:t>
      </w:r>
      <w:r w:rsidR="00D12609">
        <w:rPr>
          <w:rFonts w:eastAsia="Times New Roman" w:cstheme="minorHAnsi"/>
          <w:color w:val="000000"/>
        </w:rPr>
        <w:t>quality</w:t>
      </w:r>
      <w:r w:rsidR="001525BB">
        <w:rPr>
          <w:rFonts w:eastAsia="Times New Roman" w:cstheme="minorHAnsi"/>
          <w:color w:val="000000"/>
        </w:rPr>
        <w:t xml:space="preserve"> and increasing investment in direct care services.  Under VBR, the state </w:t>
      </w:r>
      <w:r w:rsidR="00D12609">
        <w:rPr>
          <w:rFonts w:eastAsia="Times New Roman" w:cstheme="minorHAnsi"/>
          <w:color w:val="000000"/>
        </w:rPr>
        <w:t xml:space="preserve">set daily public (Medicaid) payment rates </w:t>
      </w:r>
      <w:r w:rsidR="00D956CC" w:rsidRPr="000D6C95">
        <w:rPr>
          <w:rFonts w:eastAsia="Times New Roman" w:cstheme="minorHAnsi"/>
          <w:color w:val="000000"/>
        </w:rPr>
        <w:t xml:space="preserve">according to </w:t>
      </w:r>
      <w:r w:rsidR="00D12609">
        <w:rPr>
          <w:rFonts w:eastAsia="Times New Roman" w:cstheme="minorHAnsi"/>
          <w:color w:val="000000"/>
        </w:rPr>
        <w:t xml:space="preserve">the nursing facility’s </w:t>
      </w:r>
      <w:r w:rsidR="009F3A0C">
        <w:rPr>
          <w:rFonts w:eastAsia="Times New Roman" w:cstheme="minorHAnsi"/>
          <w:color w:val="000000"/>
        </w:rPr>
        <w:t>care quality</w:t>
      </w:r>
      <w:r w:rsidR="00C04563">
        <w:rPr>
          <w:rFonts w:eastAsia="Times New Roman" w:cstheme="minorHAnsi"/>
          <w:color w:val="000000"/>
        </w:rPr>
        <w:t xml:space="preserve"> as measured by a </w:t>
      </w:r>
      <w:r w:rsidR="009F3A0C">
        <w:rPr>
          <w:rFonts w:eastAsia="Times New Roman" w:cstheme="minorHAnsi"/>
          <w:color w:val="000000"/>
        </w:rPr>
        <w:t>composite</w:t>
      </w:r>
      <w:r w:rsidR="00C0797F">
        <w:rPr>
          <w:rFonts w:eastAsia="Times New Roman" w:cstheme="minorHAnsi"/>
          <w:color w:val="000000"/>
        </w:rPr>
        <w:t xml:space="preserve"> </w:t>
      </w:r>
      <w:r w:rsidR="009510C6">
        <w:rPr>
          <w:rFonts w:eastAsia="Times New Roman" w:cstheme="minorHAnsi"/>
          <w:color w:val="000000"/>
        </w:rPr>
        <w:t xml:space="preserve">quality </w:t>
      </w:r>
      <w:r w:rsidR="00C0797F">
        <w:rPr>
          <w:rFonts w:eastAsia="Times New Roman" w:cstheme="minorHAnsi"/>
          <w:color w:val="000000"/>
        </w:rPr>
        <w:t>score</w:t>
      </w:r>
      <w:r w:rsidR="00D956CC" w:rsidRPr="000D6C95">
        <w:rPr>
          <w:rFonts w:eastAsia="Times New Roman" w:cstheme="minorHAnsi"/>
          <w:color w:val="000000"/>
        </w:rPr>
        <w:t xml:space="preserve">.  </w:t>
      </w:r>
      <w:r w:rsidR="00081DE6">
        <w:rPr>
          <w:rFonts w:eastAsia="Times New Roman" w:cstheme="minorHAnsi"/>
          <w:color w:val="000000"/>
        </w:rPr>
        <w:t>In addition, t</w:t>
      </w:r>
      <w:r w:rsidR="00D956CC" w:rsidRPr="000D6C95">
        <w:rPr>
          <w:rFonts w:eastAsia="Times New Roman" w:cstheme="minorHAnsi"/>
          <w:color w:val="000000"/>
        </w:rPr>
        <w:t xml:space="preserve">he state </w:t>
      </w:r>
      <w:r w:rsidR="005B3460">
        <w:rPr>
          <w:rFonts w:eastAsia="Times New Roman" w:cstheme="minorHAnsi"/>
          <w:color w:val="000000"/>
        </w:rPr>
        <w:t xml:space="preserve">substantially increased the </w:t>
      </w:r>
      <w:r w:rsidR="00530921">
        <w:rPr>
          <w:rFonts w:eastAsia="Times New Roman" w:cstheme="minorHAnsi"/>
          <w:color w:val="000000"/>
        </w:rPr>
        <w:t xml:space="preserve">Medicaid </w:t>
      </w:r>
      <w:r w:rsidR="00081DE6">
        <w:rPr>
          <w:rFonts w:eastAsia="Times New Roman" w:cstheme="minorHAnsi"/>
          <w:color w:val="000000"/>
        </w:rPr>
        <w:t xml:space="preserve">nursing home </w:t>
      </w:r>
      <w:r w:rsidR="00D956CC" w:rsidRPr="000D6C95">
        <w:rPr>
          <w:rFonts w:eastAsia="Times New Roman" w:cstheme="minorHAnsi"/>
          <w:color w:val="000000"/>
        </w:rPr>
        <w:t xml:space="preserve">budget with </w:t>
      </w:r>
      <w:r w:rsidR="00C0797F">
        <w:rPr>
          <w:rFonts w:eastAsia="Times New Roman" w:cstheme="minorHAnsi"/>
          <w:color w:val="000000"/>
        </w:rPr>
        <w:t xml:space="preserve">additional </w:t>
      </w:r>
      <w:r w:rsidR="005B3460">
        <w:rPr>
          <w:rFonts w:eastAsia="Times New Roman" w:cstheme="minorHAnsi"/>
          <w:color w:val="000000"/>
        </w:rPr>
        <w:t xml:space="preserve">funds </w:t>
      </w:r>
      <w:r w:rsidR="00D956CC" w:rsidRPr="000D6C95">
        <w:rPr>
          <w:rFonts w:eastAsia="Times New Roman" w:cstheme="minorHAnsi"/>
          <w:color w:val="000000"/>
        </w:rPr>
        <w:t>earmarked for</w:t>
      </w:r>
      <w:r w:rsidR="00C0797F">
        <w:rPr>
          <w:rFonts w:eastAsia="Times New Roman" w:cstheme="minorHAnsi"/>
          <w:color w:val="000000"/>
        </w:rPr>
        <w:t xml:space="preserve"> </w:t>
      </w:r>
      <w:r w:rsidR="00C04563">
        <w:rPr>
          <w:rFonts w:eastAsia="Times New Roman" w:cstheme="minorHAnsi"/>
          <w:color w:val="000000"/>
        </w:rPr>
        <w:t xml:space="preserve">nursing and other </w:t>
      </w:r>
      <w:r w:rsidR="00C0797F">
        <w:rPr>
          <w:rFonts w:eastAsia="Times New Roman" w:cstheme="minorHAnsi"/>
          <w:color w:val="000000"/>
        </w:rPr>
        <w:t>care</w:t>
      </w:r>
      <w:r w:rsidR="00C04563">
        <w:rPr>
          <w:rFonts w:eastAsia="Times New Roman" w:cstheme="minorHAnsi"/>
          <w:color w:val="000000"/>
        </w:rPr>
        <w:t>-related</w:t>
      </w:r>
      <w:r w:rsidR="00C0797F">
        <w:rPr>
          <w:rFonts w:eastAsia="Times New Roman" w:cstheme="minorHAnsi"/>
          <w:color w:val="000000"/>
        </w:rPr>
        <w:t xml:space="preserve"> services</w:t>
      </w:r>
      <w:r w:rsidR="00C04563">
        <w:rPr>
          <w:rFonts w:eastAsia="Times New Roman" w:cstheme="minorHAnsi"/>
          <w:color w:val="000000"/>
        </w:rPr>
        <w:t xml:space="preserve">, while at the same time introducing </w:t>
      </w:r>
      <w:r w:rsidR="00C0797F">
        <w:rPr>
          <w:rFonts w:eastAsia="Times New Roman" w:cstheme="minorHAnsi"/>
          <w:color w:val="000000"/>
        </w:rPr>
        <w:t>a</w:t>
      </w:r>
      <w:r w:rsidR="00C04563">
        <w:rPr>
          <w:rFonts w:eastAsia="Times New Roman" w:cstheme="minorHAnsi"/>
          <w:color w:val="000000"/>
        </w:rPr>
        <w:t xml:space="preserve">n </w:t>
      </w:r>
      <w:r w:rsidR="00C0797F">
        <w:rPr>
          <w:rFonts w:eastAsia="Times New Roman" w:cstheme="minorHAnsi"/>
          <w:color w:val="000000"/>
        </w:rPr>
        <w:t xml:space="preserve">efficiency incentive </w:t>
      </w:r>
      <w:r w:rsidR="00C04563">
        <w:rPr>
          <w:rFonts w:eastAsia="Times New Roman" w:cstheme="minorHAnsi"/>
          <w:color w:val="000000"/>
        </w:rPr>
        <w:t xml:space="preserve">to limit growth in administrative and </w:t>
      </w:r>
      <w:r w:rsidR="00C0797F">
        <w:rPr>
          <w:rFonts w:eastAsia="Times New Roman" w:cstheme="minorHAnsi"/>
          <w:color w:val="000000"/>
        </w:rPr>
        <w:t xml:space="preserve">other </w:t>
      </w:r>
      <w:r w:rsidR="00C04563">
        <w:rPr>
          <w:rFonts w:eastAsia="Times New Roman" w:cstheme="minorHAnsi"/>
          <w:color w:val="000000"/>
        </w:rPr>
        <w:t>operating costs</w:t>
      </w:r>
      <w:r w:rsidR="00D956CC" w:rsidRPr="000D6C95">
        <w:rPr>
          <w:rFonts w:eastAsia="Times New Roman" w:cstheme="minorHAnsi"/>
          <w:color w:val="000000"/>
        </w:rPr>
        <w:t>.</w:t>
      </w:r>
    </w:p>
    <w:p w14:paraId="540DE5AB" w14:textId="77777777" w:rsidR="004804C0" w:rsidRDefault="00C95509" w:rsidP="002F0BE3">
      <w:pPr>
        <w:spacing w:after="120" w:line="360" w:lineRule="auto"/>
        <w:ind w:firstLine="720"/>
        <w:textAlignment w:val="baseline"/>
        <w:rPr>
          <w:rFonts w:eastAsia="Times New Roman" w:cstheme="minorHAnsi"/>
          <w:color w:val="000000"/>
        </w:rPr>
      </w:pPr>
      <w:r>
        <w:rPr>
          <w:rFonts w:eastAsia="Times New Roman" w:cstheme="minorHAnsi"/>
          <w:color w:val="000000"/>
        </w:rPr>
        <w:t xml:space="preserve">We </w:t>
      </w:r>
      <w:r w:rsidR="00D956CC" w:rsidRPr="000D6C95">
        <w:rPr>
          <w:rFonts w:eastAsia="Times New Roman" w:cstheme="minorHAnsi"/>
          <w:color w:val="000000"/>
        </w:rPr>
        <w:t xml:space="preserve">conducted an evaluation </w:t>
      </w:r>
      <w:r w:rsidR="00C0797F">
        <w:rPr>
          <w:rFonts w:eastAsia="Times New Roman" w:cstheme="minorHAnsi"/>
          <w:color w:val="000000"/>
        </w:rPr>
        <w:t xml:space="preserve">of VBR </w:t>
      </w:r>
      <w:r w:rsidR="005B3460">
        <w:rPr>
          <w:rFonts w:eastAsia="Times New Roman" w:cstheme="minorHAnsi"/>
          <w:color w:val="000000"/>
        </w:rPr>
        <w:t xml:space="preserve">to determine </w:t>
      </w:r>
      <w:r w:rsidR="00C0797F">
        <w:rPr>
          <w:rFonts w:eastAsia="Times New Roman" w:cstheme="minorHAnsi"/>
          <w:color w:val="000000"/>
        </w:rPr>
        <w:t xml:space="preserve">its effectiveness in meeting state </w:t>
      </w:r>
      <w:r w:rsidR="005B3460">
        <w:rPr>
          <w:rFonts w:eastAsia="Times New Roman" w:cstheme="minorHAnsi"/>
          <w:color w:val="000000"/>
        </w:rPr>
        <w:t>policy</w:t>
      </w:r>
      <w:r w:rsidR="00C0797F">
        <w:rPr>
          <w:rFonts w:eastAsia="Times New Roman" w:cstheme="minorHAnsi"/>
          <w:color w:val="000000"/>
        </w:rPr>
        <w:t xml:space="preserve"> goals</w:t>
      </w:r>
      <w:r w:rsidR="007D2D65">
        <w:rPr>
          <w:rFonts w:eastAsia="Times New Roman" w:cstheme="minorHAnsi"/>
          <w:color w:val="000000"/>
        </w:rPr>
        <w:t xml:space="preserve"> of </w:t>
      </w:r>
      <w:r w:rsidR="00130B0F">
        <w:rPr>
          <w:rFonts w:eastAsia="Times New Roman" w:cstheme="minorHAnsi"/>
          <w:color w:val="000000"/>
        </w:rPr>
        <w:t xml:space="preserve">achieving </w:t>
      </w:r>
      <w:r w:rsidR="007D2D65">
        <w:rPr>
          <w:rFonts w:eastAsia="Times New Roman" w:cstheme="minorHAnsi"/>
          <w:color w:val="000000"/>
        </w:rPr>
        <w:t>better care quality and increased investment in care</w:t>
      </w:r>
      <w:r w:rsidR="00130B0F">
        <w:rPr>
          <w:rFonts w:eastAsia="Times New Roman" w:cstheme="minorHAnsi"/>
          <w:color w:val="000000"/>
        </w:rPr>
        <w:t xml:space="preserve"> related areas</w:t>
      </w:r>
      <w:r w:rsidR="00B32049" w:rsidRPr="000D6C95">
        <w:rPr>
          <w:rFonts w:eastAsia="Times New Roman" w:cstheme="minorHAnsi"/>
          <w:color w:val="000000"/>
        </w:rPr>
        <w:t>.</w:t>
      </w:r>
      <w:r w:rsidR="002E0981" w:rsidRPr="000D6C95">
        <w:rPr>
          <w:rFonts w:eastAsia="Times New Roman" w:cstheme="minorHAnsi"/>
          <w:color w:val="000000"/>
        </w:rPr>
        <w:t xml:space="preserve">  </w:t>
      </w:r>
      <w:r w:rsidR="005B3460">
        <w:rPr>
          <w:rFonts w:eastAsia="Times New Roman" w:cstheme="minorHAnsi"/>
          <w:color w:val="000000"/>
        </w:rPr>
        <w:t xml:space="preserve">One </w:t>
      </w:r>
      <w:r w:rsidR="002529B1">
        <w:rPr>
          <w:rFonts w:eastAsia="Times New Roman" w:cstheme="minorHAnsi"/>
          <w:color w:val="000000"/>
        </w:rPr>
        <w:t xml:space="preserve">evaluation question involved the differential response </w:t>
      </w:r>
      <w:r w:rsidR="007D2D65">
        <w:rPr>
          <w:rFonts w:eastAsia="Times New Roman" w:cstheme="minorHAnsi"/>
          <w:color w:val="000000"/>
        </w:rPr>
        <w:t xml:space="preserve">to VBR by </w:t>
      </w:r>
      <w:r>
        <w:rPr>
          <w:rFonts w:eastAsia="Times New Roman" w:cstheme="minorHAnsi"/>
          <w:color w:val="000000"/>
        </w:rPr>
        <w:t xml:space="preserve">for-profit, non-profit and government-owned facilities.  </w:t>
      </w:r>
      <w:r w:rsidR="004804C0">
        <w:rPr>
          <w:rFonts w:eastAsia="Times New Roman" w:cstheme="minorHAnsi"/>
          <w:color w:val="000000"/>
        </w:rPr>
        <w:t xml:space="preserve">The purpose of this manuscript is </w:t>
      </w:r>
      <w:r w:rsidR="00A54432">
        <w:rPr>
          <w:rFonts w:eastAsia="Times New Roman" w:cstheme="minorHAnsi"/>
          <w:color w:val="000000"/>
        </w:rPr>
        <w:t xml:space="preserve">to </w:t>
      </w:r>
      <w:r w:rsidR="004804C0">
        <w:rPr>
          <w:rFonts w:eastAsia="Times New Roman" w:cstheme="minorHAnsi"/>
          <w:color w:val="000000"/>
        </w:rPr>
        <w:t xml:space="preserve">examine </w:t>
      </w:r>
      <w:r w:rsidR="00A54432">
        <w:rPr>
          <w:rFonts w:eastAsia="Times New Roman" w:cstheme="minorHAnsi"/>
          <w:color w:val="000000"/>
        </w:rPr>
        <w:t xml:space="preserve">how different ownership types responded to </w:t>
      </w:r>
      <w:r w:rsidR="004804C0">
        <w:rPr>
          <w:rFonts w:eastAsia="Times New Roman" w:cstheme="minorHAnsi"/>
          <w:color w:val="000000"/>
        </w:rPr>
        <w:t xml:space="preserve">VBR implementation </w:t>
      </w:r>
      <w:r w:rsidR="00A54432">
        <w:rPr>
          <w:rFonts w:eastAsia="Times New Roman" w:cstheme="minorHAnsi"/>
          <w:color w:val="000000"/>
        </w:rPr>
        <w:t xml:space="preserve">from the standpoint of their </w:t>
      </w:r>
      <w:r w:rsidR="004804C0">
        <w:rPr>
          <w:rFonts w:eastAsia="Times New Roman" w:cstheme="minorHAnsi"/>
          <w:color w:val="000000"/>
        </w:rPr>
        <w:t xml:space="preserve">care related </w:t>
      </w:r>
      <w:r w:rsidR="00130B0F">
        <w:rPr>
          <w:rFonts w:eastAsia="Times New Roman" w:cstheme="minorHAnsi"/>
          <w:color w:val="000000"/>
        </w:rPr>
        <w:t>expenditures</w:t>
      </w:r>
      <w:r w:rsidR="00A54432">
        <w:rPr>
          <w:rFonts w:eastAsia="Times New Roman" w:cstheme="minorHAnsi"/>
          <w:color w:val="000000"/>
        </w:rPr>
        <w:t xml:space="preserve"> </w:t>
      </w:r>
      <w:r w:rsidR="004804C0">
        <w:rPr>
          <w:rFonts w:eastAsia="Times New Roman" w:cstheme="minorHAnsi"/>
          <w:color w:val="000000"/>
        </w:rPr>
        <w:t xml:space="preserve">and </w:t>
      </w:r>
      <w:r w:rsidR="00A54432">
        <w:rPr>
          <w:rFonts w:eastAsia="Times New Roman" w:cstheme="minorHAnsi"/>
          <w:color w:val="000000"/>
        </w:rPr>
        <w:t>quality of care</w:t>
      </w:r>
      <w:r w:rsidR="004804C0">
        <w:rPr>
          <w:rFonts w:eastAsia="Times New Roman" w:cstheme="minorHAnsi"/>
          <w:color w:val="000000"/>
        </w:rPr>
        <w:t>.</w:t>
      </w:r>
      <w:r w:rsidR="00A54432">
        <w:rPr>
          <w:rFonts w:eastAsia="Times New Roman" w:cstheme="minorHAnsi"/>
          <w:color w:val="000000"/>
        </w:rPr>
        <w:t xml:space="preserve">  </w:t>
      </w:r>
      <w:r w:rsidR="00937306">
        <w:rPr>
          <w:rFonts w:eastAsia="Times New Roman" w:cstheme="minorHAnsi"/>
          <w:color w:val="000000"/>
        </w:rPr>
        <w:t>The findings have implications for long-term care policy in the US and other countries where market-oriented approaches are being touted as means of achieving better quality of nursing facility care.</w:t>
      </w:r>
    </w:p>
    <w:p w14:paraId="3430C530" w14:textId="77777777" w:rsidR="002F0BE3" w:rsidRPr="002F0BE3" w:rsidRDefault="000128FB" w:rsidP="002F0BE3">
      <w:pPr>
        <w:spacing w:line="360" w:lineRule="auto"/>
        <w:textAlignment w:val="baseline"/>
        <w:rPr>
          <w:rFonts w:eastAsia="Times New Roman" w:cstheme="minorHAnsi"/>
          <w:i/>
          <w:iCs/>
          <w:color w:val="000000"/>
        </w:rPr>
      </w:pPr>
      <w:r>
        <w:rPr>
          <w:rFonts w:eastAsia="Times New Roman" w:cstheme="minorHAnsi"/>
          <w:i/>
          <w:iCs/>
          <w:color w:val="000000"/>
        </w:rPr>
        <w:t xml:space="preserve">Value-Based Reimbursement, </w:t>
      </w:r>
      <w:r w:rsidR="002F0BE3" w:rsidRPr="002F0BE3">
        <w:rPr>
          <w:rFonts w:eastAsia="Times New Roman" w:cstheme="minorHAnsi"/>
          <w:i/>
          <w:iCs/>
          <w:color w:val="000000"/>
        </w:rPr>
        <w:t>Ownership Type</w:t>
      </w:r>
      <w:r w:rsidR="002F0BE3">
        <w:rPr>
          <w:rFonts w:eastAsia="Times New Roman" w:cstheme="minorHAnsi"/>
          <w:i/>
          <w:iCs/>
          <w:color w:val="000000"/>
        </w:rPr>
        <w:t xml:space="preserve">, </w:t>
      </w:r>
      <w:r w:rsidR="002F0BE3" w:rsidRPr="002F0BE3">
        <w:rPr>
          <w:rFonts w:eastAsia="Times New Roman" w:cstheme="minorHAnsi"/>
          <w:i/>
          <w:iCs/>
          <w:color w:val="000000"/>
        </w:rPr>
        <w:t>Quality of Nursing Facility Care</w:t>
      </w:r>
    </w:p>
    <w:p w14:paraId="4E0983C6" w14:textId="77777777" w:rsidR="00F0779A" w:rsidRDefault="00E61D86" w:rsidP="00C9330F">
      <w:pPr>
        <w:spacing w:after="120" w:line="360" w:lineRule="auto"/>
        <w:ind w:firstLine="720"/>
        <w:textAlignment w:val="baseline"/>
        <w:rPr>
          <w:rFonts w:eastAsia="Times New Roman" w:cstheme="minorHAnsi"/>
          <w:color w:val="000000"/>
        </w:rPr>
      </w:pPr>
      <w:r>
        <w:rPr>
          <w:rFonts w:eastAsia="Times New Roman" w:cstheme="minorHAnsi"/>
          <w:color w:val="000000"/>
        </w:rPr>
        <w:t xml:space="preserve">Achieving greater value from </w:t>
      </w:r>
      <w:r w:rsidR="00AC4B93">
        <w:rPr>
          <w:rFonts w:eastAsia="Times New Roman" w:cstheme="minorHAnsi"/>
          <w:color w:val="000000"/>
        </w:rPr>
        <w:t xml:space="preserve">long-term care </w:t>
      </w:r>
      <w:r>
        <w:rPr>
          <w:rFonts w:eastAsia="Times New Roman" w:cstheme="minorHAnsi"/>
          <w:color w:val="000000"/>
        </w:rPr>
        <w:t>has become a mantra in the US and other countries.</w:t>
      </w:r>
      <w:r w:rsidR="00AC4B93">
        <w:rPr>
          <w:rFonts w:eastAsia="Times New Roman" w:cstheme="minorHAnsi"/>
          <w:color w:val="000000"/>
        </w:rPr>
        <w:t xml:space="preserve">  While regulatory approaches can aid in detecting and correcting care problems, they are viewed as insufficient to improve care quality</w:t>
      </w:r>
      <w:r w:rsidR="00C9330F">
        <w:rPr>
          <w:rFonts w:eastAsia="Times New Roman" w:cstheme="minorHAnsi"/>
          <w:color w:val="000000"/>
        </w:rPr>
        <w:t>.  Over the last two decades, many state governments in the US have introduced market-based incentives that tie public (Medicaid) payment to the quality of nursing home care</w:t>
      </w:r>
      <w:r w:rsidR="00F0779A">
        <w:rPr>
          <w:rFonts w:eastAsia="Times New Roman" w:cstheme="minorHAnsi"/>
          <w:color w:val="000000"/>
        </w:rPr>
        <w:t xml:space="preserve"> </w:t>
      </w:r>
      <w:r w:rsidR="00F0779A">
        <w:rPr>
          <w:rFonts w:eastAsia="Times New Roman" w:cstheme="minorHAnsi"/>
          <w:color w:val="000000"/>
        </w:rPr>
        <w:fldChar w:fldCharType="begin">
          <w:fldData xml:space="preserve">PEVuZE5vdGU+PENpdGU+PEF1dGhvcj5Bcmxpbmc8L0F1dGhvcj48WWVhcj4yMDA5PC9ZZWFyPjxS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</w:fldData>
        </w:fldChar>
      </w:r>
      <w:r w:rsidR="00F0779A">
        <w:rPr>
          <w:rFonts w:eastAsia="Times New Roman" w:cstheme="minorHAnsi"/>
          <w:color w:val="000000"/>
        </w:rPr>
        <w:instrText xml:space="preserve"> ADDIN EN.CITE </w:instrText>
      </w:r>
      <w:r w:rsidR="00F0779A">
        <w:rPr>
          <w:rFonts w:eastAsia="Times New Roman" w:cstheme="minorHAnsi"/>
          <w:color w:val="000000"/>
        </w:rPr>
        <w:fldChar w:fldCharType="begin">
          <w:fldData xml:space="preserve">PEVuZE5vdGU+PENpdGU+PEF1dGhvcj5Bcmxpbmc8L0F1dGhvcj48WWVhcj4yMDA5PC9ZZWFyPjxS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</w:fldData>
        </w:fldChar>
      </w:r>
      <w:r w:rsidR="00F0779A">
        <w:rPr>
          <w:rFonts w:eastAsia="Times New Roman" w:cstheme="minorHAnsi"/>
          <w:color w:val="000000"/>
        </w:rPr>
        <w:instrText xml:space="preserve"> ADDIN EN.CITE.DATA </w:instrText>
      </w:r>
      <w:r w:rsidR="00F0779A">
        <w:rPr>
          <w:rFonts w:eastAsia="Times New Roman" w:cstheme="minorHAnsi"/>
          <w:color w:val="000000"/>
        </w:rPr>
      </w:r>
      <w:r w:rsidR="00F0779A">
        <w:rPr>
          <w:rFonts w:eastAsia="Times New Roman" w:cstheme="minorHAnsi"/>
          <w:color w:val="000000"/>
        </w:rPr>
        <w:fldChar w:fldCharType="end"/>
      </w:r>
      <w:r w:rsidR="00F0779A">
        <w:rPr>
          <w:rFonts w:eastAsia="Times New Roman" w:cstheme="minorHAnsi"/>
          <w:color w:val="000000"/>
        </w:rPr>
      </w:r>
      <w:r w:rsidR="00F0779A">
        <w:rPr>
          <w:rFonts w:eastAsia="Times New Roman" w:cstheme="minorHAnsi"/>
          <w:color w:val="000000"/>
        </w:rPr>
        <w:fldChar w:fldCharType="separate"/>
      </w:r>
      <w:r w:rsidR="00F0779A">
        <w:rPr>
          <w:rFonts w:eastAsia="Times New Roman" w:cstheme="minorHAnsi"/>
          <w:noProof/>
          <w:color w:val="000000"/>
        </w:rPr>
        <w:t>(Arling, Job, &amp; Cooke, 2009; Briesacher, Field, Baril, &amp; Gurwitz, 2009; Werner, Tamara Konetzka, &amp; Liang, 2010)</w:t>
      </w:r>
      <w:r w:rsidR="00F0779A">
        <w:rPr>
          <w:rFonts w:eastAsia="Times New Roman" w:cstheme="minorHAnsi"/>
          <w:color w:val="000000"/>
        </w:rPr>
        <w:fldChar w:fldCharType="end"/>
      </w:r>
      <w:r w:rsidR="00C9330F">
        <w:rPr>
          <w:rFonts w:eastAsia="Times New Roman" w:cstheme="minorHAnsi"/>
          <w:color w:val="000000"/>
        </w:rPr>
        <w:t xml:space="preserve">.  </w:t>
      </w:r>
      <w:r w:rsidR="00F0779A">
        <w:rPr>
          <w:rFonts w:eastAsia="Times New Roman" w:cstheme="minorHAnsi"/>
          <w:color w:val="000000"/>
        </w:rPr>
        <w:t xml:space="preserve">Nursing facilities delivering better care according to quality metrics, such as regulatory findings or clinical quality indicators, receive higher payment.  Alternatively, facilities delivering poor quality care are penalized, </w:t>
      </w:r>
      <w:r w:rsidR="0035105D">
        <w:rPr>
          <w:rFonts w:eastAsia="Times New Roman" w:cstheme="minorHAnsi"/>
          <w:color w:val="000000"/>
        </w:rPr>
        <w:lastRenderedPageBreak/>
        <w:t xml:space="preserve">which </w:t>
      </w:r>
      <w:r w:rsidR="00F0779A">
        <w:rPr>
          <w:rFonts w:eastAsia="Times New Roman" w:cstheme="minorHAnsi"/>
          <w:color w:val="000000"/>
        </w:rPr>
        <w:t>is the case in the new Federal Medicare Nursing Facility Value</w:t>
      </w:r>
      <w:r w:rsidR="0035105D">
        <w:rPr>
          <w:rFonts w:eastAsia="Times New Roman" w:cstheme="minorHAnsi"/>
          <w:color w:val="000000"/>
        </w:rPr>
        <w:t>-Based Purchasing Program</w:t>
      </w:r>
      <w:r w:rsidR="00F0779A">
        <w:rPr>
          <w:rFonts w:eastAsia="Times New Roman" w:cstheme="minorHAnsi"/>
          <w:color w:val="000000"/>
        </w:rPr>
        <w:t>.</w:t>
      </w:r>
      <w:r w:rsidR="0035105D">
        <w:rPr>
          <w:rFonts w:eastAsia="Times New Roman" w:cstheme="minorHAnsi"/>
          <w:color w:val="000000"/>
        </w:rPr>
        <w:t xml:space="preserve">  </w:t>
      </w:r>
      <w:r w:rsidR="00086CC3">
        <w:rPr>
          <w:rFonts w:eastAsia="Times New Roman" w:cstheme="minorHAnsi"/>
          <w:color w:val="000000"/>
        </w:rPr>
        <w:t xml:space="preserve">Despite widespread adoption of value-based payment for nursing facilities, they have not been rigorously evaluated.  The few studies that have been carried out, have provided little evidence of their effectiveness </w:t>
      </w:r>
      <w:r w:rsidR="00C65937">
        <w:rPr>
          <w:rFonts w:eastAsia="Times New Roman" w:cstheme="minorHAnsi"/>
          <w:color w:val="000000"/>
        </w:rPr>
        <w:fldChar w:fldCharType="begin">
          <w:fldData xml:space="preserve">PEVuZE5vdGU+PENpdGU+PEF1dGhvcj5XZXJuZXI8L0F1dGhvcj48WWVhcj4yMDEzPC9ZZWFyPjxS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</w:fldData>
        </w:fldChar>
      </w:r>
      <w:r w:rsidR="00C65937">
        <w:rPr>
          <w:rFonts w:eastAsia="Times New Roman" w:cstheme="minorHAnsi"/>
          <w:color w:val="000000"/>
        </w:rPr>
        <w:instrText xml:space="preserve"> ADDIN EN.CITE </w:instrText>
      </w:r>
      <w:r w:rsidR="00C65937">
        <w:rPr>
          <w:rFonts w:eastAsia="Times New Roman" w:cstheme="minorHAnsi"/>
          <w:color w:val="000000"/>
        </w:rPr>
        <w:fldChar w:fldCharType="begin">
          <w:fldData xml:space="preserve">PEVuZE5vdGU+PENpdGU+PEF1dGhvcj5XZXJuZXI8L0F1dGhvcj48WWVhcj4yMDEzPC9ZZWFyPjxS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</w:fldData>
        </w:fldChar>
      </w:r>
      <w:r w:rsidR="00C65937">
        <w:rPr>
          <w:rFonts w:eastAsia="Times New Roman" w:cstheme="minorHAnsi"/>
          <w:color w:val="000000"/>
        </w:rPr>
        <w:instrText xml:space="preserve"> ADDIN EN.CITE.DATA </w:instrText>
      </w:r>
      <w:r w:rsidR="00C65937">
        <w:rPr>
          <w:rFonts w:eastAsia="Times New Roman" w:cstheme="minorHAnsi"/>
          <w:color w:val="000000"/>
        </w:rPr>
      </w:r>
      <w:r w:rsidR="00C65937">
        <w:rPr>
          <w:rFonts w:eastAsia="Times New Roman" w:cstheme="minorHAnsi"/>
          <w:color w:val="000000"/>
        </w:rPr>
        <w:fldChar w:fldCharType="end"/>
      </w:r>
      <w:r w:rsidR="00C65937">
        <w:rPr>
          <w:rFonts w:eastAsia="Times New Roman" w:cstheme="minorHAnsi"/>
          <w:color w:val="000000"/>
        </w:rPr>
      </w:r>
      <w:r w:rsidR="00C65937">
        <w:rPr>
          <w:rFonts w:eastAsia="Times New Roman" w:cstheme="minorHAnsi"/>
          <w:color w:val="000000"/>
        </w:rPr>
        <w:fldChar w:fldCharType="separate"/>
      </w:r>
      <w:r w:rsidR="00C65937">
        <w:rPr>
          <w:rFonts w:eastAsia="Times New Roman" w:cstheme="minorHAnsi"/>
          <w:noProof/>
          <w:color w:val="000000"/>
        </w:rPr>
        <w:t>(Arling et al., 2009; Briesacher et al., 2009; Werner, Konetzka, &amp; Polsky, 2013)</w:t>
      </w:r>
      <w:r w:rsidR="00C65937">
        <w:rPr>
          <w:rFonts w:eastAsia="Times New Roman" w:cstheme="minorHAnsi"/>
          <w:color w:val="000000"/>
        </w:rPr>
        <w:fldChar w:fldCharType="end"/>
      </w:r>
      <w:r w:rsidR="00086CC3">
        <w:rPr>
          <w:rFonts w:eastAsia="Times New Roman" w:cstheme="minorHAnsi"/>
          <w:color w:val="000000"/>
        </w:rPr>
        <w:t>.</w:t>
      </w:r>
    </w:p>
    <w:p w14:paraId="5E112BC1" w14:textId="77777777" w:rsidR="002F0BE3" w:rsidRDefault="00177D6C" w:rsidP="00177D6C">
      <w:pPr>
        <w:spacing w:after="120" w:line="360" w:lineRule="auto"/>
        <w:ind w:firstLine="720"/>
        <w:textAlignment w:val="baseline"/>
        <w:rPr>
          <w:rFonts w:eastAsia="Times New Roman" w:cstheme="minorHAnsi"/>
          <w:color w:val="000000"/>
        </w:rPr>
      </w:pPr>
      <w:r>
        <w:rPr>
          <w:rFonts w:eastAsia="Times New Roman" w:cstheme="minorHAnsi"/>
          <w:color w:val="000000"/>
        </w:rPr>
        <w:t xml:space="preserve">Presumably, </w:t>
      </w:r>
      <w:r w:rsidR="00CE791B">
        <w:rPr>
          <w:rFonts w:eastAsia="Times New Roman" w:cstheme="minorHAnsi"/>
          <w:color w:val="000000"/>
        </w:rPr>
        <w:t xml:space="preserve">financial incentives </w:t>
      </w:r>
      <w:r w:rsidR="009A05CB">
        <w:rPr>
          <w:rFonts w:eastAsia="Times New Roman" w:cstheme="minorHAnsi"/>
          <w:color w:val="000000"/>
        </w:rPr>
        <w:t>w</w:t>
      </w:r>
      <w:r w:rsidR="00CE791B">
        <w:rPr>
          <w:rFonts w:eastAsia="Times New Roman" w:cstheme="minorHAnsi"/>
          <w:color w:val="000000"/>
        </w:rPr>
        <w:t xml:space="preserve">ould be a strong motivator for delivering better quality </w:t>
      </w:r>
      <w:r>
        <w:rPr>
          <w:rFonts w:eastAsia="Times New Roman" w:cstheme="minorHAnsi"/>
          <w:color w:val="000000"/>
        </w:rPr>
        <w:t xml:space="preserve">in </w:t>
      </w:r>
      <w:r w:rsidR="00CE791B">
        <w:rPr>
          <w:rFonts w:eastAsia="Times New Roman" w:cstheme="minorHAnsi"/>
          <w:color w:val="000000"/>
        </w:rPr>
        <w:t>the</w:t>
      </w:r>
      <w:r>
        <w:rPr>
          <w:rFonts w:eastAsia="Times New Roman" w:cstheme="minorHAnsi"/>
          <w:color w:val="000000"/>
        </w:rPr>
        <w:t xml:space="preserve"> US nursing home industry </w:t>
      </w:r>
      <w:r w:rsidR="009A05CB">
        <w:rPr>
          <w:rFonts w:eastAsia="Times New Roman" w:cstheme="minorHAnsi"/>
          <w:color w:val="000000"/>
        </w:rPr>
        <w:t xml:space="preserve">because of its preponderance of </w:t>
      </w:r>
      <w:r>
        <w:rPr>
          <w:rFonts w:eastAsia="Times New Roman" w:cstheme="minorHAnsi"/>
          <w:color w:val="000000"/>
        </w:rPr>
        <w:t xml:space="preserve">for-profit firms (70% </w:t>
      </w:r>
      <w:r w:rsidR="00B4220C">
        <w:rPr>
          <w:rFonts w:eastAsia="Times New Roman" w:cstheme="minorHAnsi"/>
          <w:color w:val="000000"/>
        </w:rPr>
        <w:t>For-profit</w:t>
      </w:r>
      <w:r>
        <w:rPr>
          <w:rFonts w:eastAsia="Times New Roman" w:cstheme="minorHAnsi"/>
          <w:color w:val="000000"/>
        </w:rPr>
        <w:t xml:space="preserve">, 24% </w:t>
      </w:r>
      <w:r w:rsidR="00B4220C">
        <w:rPr>
          <w:rFonts w:eastAsia="Times New Roman" w:cstheme="minorHAnsi"/>
          <w:color w:val="000000"/>
        </w:rPr>
        <w:t>Non-profit</w:t>
      </w:r>
      <w:r>
        <w:rPr>
          <w:rFonts w:eastAsia="Times New Roman" w:cstheme="minorHAnsi"/>
          <w:color w:val="000000"/>
        </w:rPr>
        <w:t xml:space="preserve">, and 6% governmental).  A </w:t>
      </w:r>
      <w:r w:rsidR="00937306">
        <w:rPr>
          <w:rFonts w:eastAsia="Times New Roman" w:cstheme="minorHAnsi"/>
          <w:color w:val="000000"/>
        </w:rPr>
        <w:t xml:space="preserve">considerable body of research in the US and other nations </w:t>
      </w:r>
      <w:r>
        <w:rPr>
          <w:rFonts w:eastAsia="Times New Roman" w:cstheme="minorHAnsi"/>
          <w:color w:val="000000"/>
        </w:rPr>
        <w:t xml:space="preserve">has found that </w:t>
      </w:r>
      <w:r w:rsidR="00B4220C">
        <w:rPr>
          <w:rFonts w:eastAsia="Times New Roman" w:cstheme="minorHAnsi"/>
          <w:color w:val="000000"/>
        </w:rPr>
        <w:t>For-profit</w:t>
      </w:r>
      <w:r>
        <w:rPr>
          <w:rFonts w:eastAsia="Times New Roman" w:cstheme="minorHAnsi"/>
          <w:color w:val="000000"/>
        </w:rPr>
        <w:t xml:space="preserve"> nursing facilities score lower on </w:t>
      </w:r>
      <w:r w:rsidR="00E45376">
        <w:rPr>
          <w:rFonts w:eastAsia="Times New Roman" w:cstheme="minorHAnsi"/>
          <w:color w:val="000000"/>
        </w:rPr>
        <w:t xml:space="preserve">regulatory findings and other </w:t>
      </w:r>
      <w:r>
        <w:rPr>
          <w:rFonts w:eastAsia="Times New Roman" w:cstheme="minorHAnsi"/>
          <w:color w:val="000000"/>
        </w:rPr>
        <w:t xml:space="preserve">quality </w:t>
      </w:r>
      <w:r w:rsidR="00E45376">
        <w:rPr>
          <w:rFonts w:eastAsia="Times New Roman" w:cstheme="minorHAnsi"/>
          <w:color w:val="000000"/>
        </w:rPr>
        <w:t xml:space="preserve">measures than either non-profit or government-owned facilities </w:t>
      </w:r>
      <w:r w:rsidR="00E45376">
        <w:rPr>
          <w:rFonts w:eastAsia="Times New Roman" w:cstheme="minorHAnsi"/>
          <w:color w:val="000000"/>
        </w:rPr>
        <w:fldChar w:fldCharType="begin">
          <w:fldData xml:space="preserve">PEVuZE5vdGU+PENpdGU+PEF1dGhvcj5CYWNoLU1vcnRlbnNlbjwvQXV0aG9yPjxZZWFyPjIwMTk8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PHBhZ2VzPjQxLTQ5PC9wYWdlcz48dm9sdW1lPjIxNjwvdm9sdW1lPjxlZGl0aW9uPjIwMTgvMDkv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</w:fldData>
        </w:fldChar>
      </w:r>
      <w:r w:rsidR="00E45376">
        <w:rPr>
          <w:rFonts w:eastAsia="Times New Roman" w:cstheme="minorHAnsi"/>
          <w:color w:val="000000"/>
        </w:rPr>
        <w:instrText xml:space="preserve"> ADDIN EN.CITE </w:instrText>
      </w:r>
      <w:r w:rsidR="00E45376">
        <w:rPr>
          <w:rFonts w:eastAsia="Times New Roman" w:cstheme="minorHAnsi"/>
          <w:color w:val="000000"/>
        </w:rPr>
        <w:fldChar w:fldCharType="begin">
          <w:fldData xml:space="preserve">PEVuZE5vdGU+PENpdGU+PEF1dGhvcj5CYWNoLU1vcnRlbnNlbjwvQXV0aG9yPjxZZWFyPjIwMTk8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</w:fldData>
        </w:fldChar>
      </w:r>
      <w:r w:rsidR="00E45376">
        <w:rPr>
          <w:rFonts w:eastAsia="Times New Roman" w:cstheme="minorHAnsi"/>
          <w:color w:val="000000"/>
        </w:rPr>
        <w:instrText xml:space="preserve"> ADDIN EN.CITE.DATA </w:instrText>
      </w:r>
      <w:r w:rsidR="00E45376">
        <w:rPr>
          <w:rFonts w:eastAsia="Times New Roman" w:cstheme="minorHAnsi"/>
          <w:color w:val="000000"/>
        </w:rPr>
      </w:r>
      <w:r w:rsidR="00E45376">
        <w:rPr>
          <w:rFonts w:eastAsia="Times New Roman" w:cstheme="minorHAnsi"/>
          <w:color w:val="000000"/>
        </w:rPr>
        <w:fldChar w:fldCharType="end"/>
      </w:r>
      <w:r w:rsidR="00E45376">
        <w:rPr>
          <w:rFonts w:eastAsia="Times New Roman" w:cstheme="minorHAnsi"/>
          <w:color w:val="000000"/>
        </w:rPr>
      </w:r>
      <w:r w:rsidR="00E45376">
        <w:rPr>
          <w:rFonts w:eastAsia="Times New Roman" w:cstheme="minorHAnsi"/>
          <w:color w:val="000000"/>
        </w:rPr>
        <w:fldChar w:fldCharType="separate"/>
      </w:r>
      <w:r w:rsidR="00E45376">
        <w:rPr>
          <w:rFonts w:eastAsia="Times New Roman" w:cstheme="minorHAnsi"/>
          <w:noProof/>
          <w:color w:val="000000"/>
        </w:rPr>
        <w:t>(Bach-Mortensen &amp; Montgomery, 2019; Baldwin, Chenoweth, Dela Rama, &amp; Liu, 2015; Barron &amp; West, 2017; Bos, Boselie, &amp; Trappenburg, 2017; Geraedts, Harrington, Schumacher, &amp; Kraska, 2016; Godby, Saldanha, Valle, Paul, &amp; Coustasse, 2017; Hjelmar, Bhatti, Petersen, Rostgaard, &amp; Vrangbaek, 2018)</w:t>
      </w:r>
      <w:r w:rsidR="00E45376">
        <w:rPr>
          <w:rFonts w:eastAsia="Times New Roman" w:cstheme="minorHAnsi"/>
          <w:color w:val="000000"/>
        </w:rPr>
        <w:fldChar w:fldCharType="end"/>
      </w:r>
      <w:r w:rsidR="00E45376">
        <w:rPr>
          <w:rFonts w:eastAsia="Times New Roman" w:cstheme="minorHAnsi"/>
          <w:color w:val="000000"/>
        </w:rPr>
        <w:t xml:space="preserve">. </w:t>
      </w:r>
      <w:r w:rsidR="00984709">
        <w:rPr>
          <w:rFonts w:eastAsia="Times New Roman" w:cstheme="minorHAnsi"/>
          <w:color w:val="000000"/>
        </w:rPr>
        <w:t>Given the right financial incentives, the gap in care quality between for-profit and non-profit or governmental facilities ought to be narrowed.  However, no studies to our knowledge have investigated the response of for-profit, non-profit or governmental facilities to value based payment.</w:t>
      </w:r>
    </w:p>
    <w:p w14:paraId="53C8695F" w14:textId="77777777" w:rsidR="00984709" w:rsidRDefault="00984709" w:rsidP="00177D6C">
      <w:pPr>
        <w:spacing w:after="120" w:line="360" w:lineRule="auto"/>
        <w:ind w:firstLine="720"/>
        <w:textAlignment w:val="baseline"/>
        <w:rPr>
          <w:rFonts w:eastAsia="Times New Roman" w:cstheme="minorHAnsi"/>
          <w:color w:val="000000"/>
        </w:rPr>
      </w:pPr>
      <w:r>
        <w:rPr>
          <w:rFonts w:eastAsia="Times New Roman" w:cstheme="minorHAnsi"/>
          <w:color w:val="000000"/>
        </w:rPr>
        <w:t xml:space="preserve">One </w:t>
      </w:r>
      <w:r w:rsidR="000F5294">
        <w:rPr>
          <w:rFonts w:eastAsia="Times New Roman" w:cstheme="minorHAnsi"/>
          <w:color w:val="000000"/>
        </w:rPr>
        <w:t xml:space="preserve">reason </w:t>
      </w:r>
      <w:r w:rsidR="00CE791B">
        <w:rPr>
          <w:rFonts w:eastAsia="Times New Roman" w:cstheme="minorHAnsi"/>
          <w:color w:val="000000"/>
        </w:rPr>
        <w:t xml:space="preserve">offered </w:t>
      </w:r>
      <w:r w:rsidR="000F5294">
        <w:rPr>
          <w:rFonts w:eastAsia="Times New Roman" w:cstheme="minorHAnsi"/>
          <w:color w:val="000000"/>
        </w:rPr>
        <w:t xml:space="preserve">for the limited success of </w:t>
      </w:r>
      <w:r>
        <w:rPr>
          <w:rFonts w:eastAsia="Times New Roman" w:cstheme="minorHAnsi"/>
          <w:color w:val="000000"/>
        </w:rPr>
        <w:t xml:space="preserve">value based payment </w:t>
      </w:r>
      <w:r w:rsidR="000F5294">
        <w:rPr>
          <w:rFonts w:eastAsia="Times New Roman" w:cstheme="minorHAnsi"/>
          <w:color w:val="000000"/>
        </w:rPr>
        <w:t xml:space="preserve">approaches </w:t>
      </w:r>
      <w:r w:rsidR="00CE791B">
        <w:rPr>
          <w:rFonts w:eastAsia="Times New Roman" w:cstheme="minorHAnsi"/>
          <w:color w:val="000000"/>
        </w:rPr>
        <w:t xml:space="preserve">relates to </w:t>
      </w:r>
      <w:r w:rsidR="000F5294">
        <w:rPr>
          <w:rFonts w:eastAsia="Times New Roman" w:cstheme="minorHAnsi"/>
          <w:color w:val="000000"/>
        </w:rPr>
        <w:t xml:space="preserve">the resource-constraints that nursing facilities face because of generally low public payments.  Low resource facilities performing poorly may be further disadvantaged if their </w:t>
      </w:r>
      <w:r w:rsidR="00A2334D">
        <w:rPr>
          <w:rFonts w:eastAsia="Times New Roman" w:cstheme="minorHAnsi"/>
          <w:color w:val="000000"/>
        </w:rPr>
        <w:t xml:space="preserve">payment rates are reduced or if they fail to gain enough resources to invest in care quality.  </w:t>
      </w:r>
      <w:r w:rsidR="00CE791B">
        <w:rPr>
          <w:rFonts w:eastAsia="Times New Roman" w:cstheme="minorHAnsi"/>
          <w:color w:val="000000"/>
        </w:rPr>
        <w:t>There is evidence that a</w:t>
      </w:r>
      <w:r w:rsidR="00A2334D">
        <w:rPr>
          <w:rFonts w:eastAsia="Times New Roman" w:cstheme="minorHAnsi"/>
          <w:color w:val="000000"/>
        </w:rPr>
        <w:t xml:space="preserve">dding public financial resources to the nursing home sector could increase care quality, even in the absence of financial incentives.  For example, studies in the US found that an increase in Medicaid payments was associated with an increase in clinical quality indicators </w:t>
      </w:r>
      <w:r w:rsidR="00A2334D">
        <w:rPr>
          <w:rFonts w:eastAsia="Times New Roman" w:cstheme="minorHAnsi"/>
          <w:color w:val="000000"/>
        </w:rPr>
        <w:fldChar w:fldCharType="begin">
          <w:fldData xml:space="preserve">PEVuZE5vdGU+PENpdGU+PEF1dGhvcj5HcmFib3dza2k8L0F1dGhvcj48WWVhcj4yMDA0PC9ZZWFy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</w:fldData>
        </w:fldChar>
      </w:r>
      <w:r w:rsidR="00A2334D">
        <w:rPr>
          <w:rFonts w:eastAsia="Times New Roman" w:cstheme="minorHAnsi"/>
          <w:color w:val="000000"/>
        </w:rPr>
        <w:instrText xml:space="preserve"> ADDIN EN.CITE </w:instrText>
      </w:r>
      <w:r w:rsidR="00A2334D">
        <w:rPr>
          <w:rFonts w:eastAsia="Times New Roman" w:cstheme="minorHAnsi"/>
          <w:color w:val="000000"/>
        </w:rPr>
        <w:fldChar w:fldCharType="begin">
          <w:fldData xml:space="preserve">PEVuZE5vdGU+PENpdGU+PEF1dGhvcj5HcmFib3dza2k8L0F1dGhvcj48WWVhcj4yMDA0PC9ZZWFy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</w:fldData>
        </w:fldChar>
      </w:r>
      <w:r w:rsidR="00A2334D">
        <w:rPr>
          <w:rFonts w:eastAsia="Times New Roman" w:cstheme="minorHAnsi"/>
          <w:color w:val="000000"/>
        </w:rPr>
        <w:instrText xml:space="preserve"> ADDIN EN.CITE.DATA </w:instrText>
      </w:r>
      <w:r w:rsidR="00A2334D">
        <w:rPr>
          <w:rFonts w:eastAsia="Times New Roman" w:cstheme="minorHAnsi"/>
          <w:color w:val="000000"/>
        </w:rPr>
      </w:r>
      <w:r w:rsidR="00A2334D">
        <w:rPr>
          <w:rFonts w:eastAsia="Times New Roman" w:cstheme="minorHAnsi"/>
          <w:color w:val="000000"/>
        </w:rPr>
        <w:fldChar w:fldCharType="end"/>
      </w:r>
      <w:r w:rsidR="00A2334D">
        <w:rPr>
          <w:rFonts w:eastAsia="Times New Roman" w:cstheme="minorHAnsi"/>
          <w:color w:val="000000"/>
        </w:rPr>
      </w:r>
      <w:r w:rsidR="00A2334D">
        <w:rPr>
          <w:rFonts w:eastAsia="Times New Roman" w:cstheme="minorHAnsi"/>
          <w:color w:val="000000"/>
        </w:rPr>
        <w:fldChar w:fldCharType="separate"/>
      </w:r>
      <w:r w:rsidR="00A2334D">
        <w:rPr>
          <w:rFonts w:eastAsia="Times New Roman" w:cstheme="minorHAnsi"/>
          <w:noProof/>
          <w:color w:val="000000"/>
        </w:rPr>
        <w:t>(Grabowski &amp; Angelelli, 2004; Grabowski, Angelelli, &amp; Mor, 2004; Mor et al., 2011)</w:t>
      </w:r>
      <w:r w:rsidR="00A2334D">
        <w:rPr>
          <w:rFonts w:eastAsia="Times New Roman" w:cstheme="minorHAnsi"/>
          <w:color w:val="000000"/>
        </w:rPr>
        <w:fldChar w:fldCharType="end"/>
      </w:r>
      <w:r w:rsidR="00A2334D">
        <w:rPr>
          <w:rFonts w:eastAsia="Times New Roman" w:cstheme="minorHAnsi"/>
          <w:color w:val="000000"/>
        </w:rPr>
        <w:t xml:space="preserve">.  </w:t>
      </w:r>
      <w:r w:rsidR="00CE791B">
        <w:rPr>
          <w:rFonts w:eastAsia="Times New Roman" w:cstheme="minorHAnsi"/>
          <w:color w:val="000000"/>
        </w:rPr>
        <w:t>However, n</w:t>
      </w:r>
      <w:r w:rsidR="00EF5B71">
        <w:rPr>
          <w:rFonts w:eastAsia="Times New Roman" w:cstheme="minorHAnsi"/>
          <w:color w:val="000000"/>
        </w:rPr>
        <w:t>o prior research has examined the joint effect of introducing value based payment along with a substantial increase in public payment for care.</w:t>
      </w:r>
    </w:p>
    <w:p w14:paraId="4A7F4EAF" w14:textId="77777777" w:rsidR="00E27F6C" w:rsidRDefault="00E27F6C">
      <w:pPr>
        <w:rPr>
          <w:rFonts w:eastAsia="Times New Roman" w:cstheme="minorHAnsi"/>
          <w:i/>
          <w:iCs/>
          <w:color w:val="000000"/>
        </w:rPr>
      </w:pPr>
      <w:r>
        <w:rPr>
          <w:rFonts w:eastAsia="Times New Roman" w:cstheme="minorHAnsi"/>
          <w:i/>
          <w:iCs/>
          <w:color w:val="000000"/>
        </w:rPr>
        <w:br w:type="page"/>
      </w:r>
    </w:p>
    <w:p w14:paraId="10FA5C01" w14:textId="77777777" w:rsidR="00FB7EDA" w:rsidRPr="009D763D" w:rsidRDefault="002F4EF9" w:rsidP="00FB7EDA">
      <w:pPr>
        <w:spacing w:line="360" w:lineRule="auto"/>
        <w:textAlignment w:val="baseline"/>
        <w:rPr>
          <w:rFonts w:eastAsia="Times New Roman" w:cstheme="minorHAnsi"/>
          <w:i/>
          <w:iCs/>
          <w:color w:val="000000"/>
        </w:rPr>
      </w:pPr>
      <w:r>
        <w:rPr>
          <w:rFonts w:eastAsia="Times New Roman" w:cstheme="minorHAnsi"/>
          <w:i/>
          <w:iCs/>
          <w:color w:val="000000"/>
        </w:rPr>
        <w:lastRenderedPageBreak/>
        <w:t xml:space="preserve">Minnesota Nursing Facility </w:t>
      </w:r>
      <w:r w:rsidR="00FB7EDA" w:rsidRPr="009D763D">
        <w:rPr>
          <w:rFonts w:eastAsia="Times New Roman" w:cstheme="minorHAnsi"/>
          <w:i/>
          <w:iCs/>
          <w:color w:val="000000"/>
        </w:rPr>
        <w:t>Reimbursement Policies</w:t>
      </w:r>
    </w:p>
    <w:p w14:paraId="6FA85054" w14:textId="77777777" w:rsidR="00FB7EDA" w:rsidRDefault="00FB7EDA" w:rsidP="00FB7EDA">
      <w:pPr>
        <w:spacing w:line="360" w:lineRule="auto"/>
        <w:ind w:firstLine="720"/>
        <w:textAlignment w:val="baseline"/>
        <w:rPr>
          <w:rFonts w:eastAsia="Times New Roman" w:cstheme="minorHAnsi"/>
          <w:color w:val="000000"/>
        </w:rPr>
      </w:pPr>
      <w:r>
        <w:rPr>
          <w:rFonts w:eastAsia="Times New Roman" w:cstheme="minorHAnsi"/>
          <w:color w:val="000000"/>
        </w:rPr>
        <w:t>Payment for nursing facility care in Minnesota like other US states comes from a mixture of sources. Post-acute care, up to 100 days after admission is typically covered by the Federal Medicare program. Longer term care is covered largely by the Medicaid program, a combination of state and Federal funding but administered by the state, or through private out of pocket payments by consumers.  A small number of residents are covered by private insurance or other sources.  In the period 2013-2017, 56% of resident days were covered by Medicaid, 26% by individuals paying privately, 9% by Medicare, and 9% by other sources.  Minnesota is unique among the US states in having a “rate equalization law” which mandates that rates charged to private paying residents must equal the Medicaid rate.  Therefore, an increase in the Medicaid rate automatically translates into an increase in the rate to consumers paying privately.  Minnesota is similar to other states in adjusting payment rates for resident case mix; residents have higher acuity based on a case mix index score have higher payment rates.</w:t>
      </w:r>
    </w:p>
    <w:p w14:paraId="271E88AC" w14:textId="77777777" w:rsidR="00FB7EDA" w:rsidRDefault="00FB7EDA" w:rsidP="00FB7EDA">
      <w:pPr>
        <w:spacing w:after="120" w:line="360" w:lineRule="auto"/>
        <w:ind w:firstLine="720"/>
        <w:textAlignment w:val="baseline"/>
        <w:rPr>
          <w:rFonts w:eastAsia="Times New Roman" w:cstheme="minorHAnsi"/>
          <w:color w:val="000000"/>
        </w:rPr>
      </w:pPr>
      <w:r>
        <w:rPr>
          <w:rFonts w:eastAsia="Times New Roman" w:cstheme="minorHAnsi"/>
          <w:color w:val="000000"/>
        </w:rPr>
        <w:t>Prior to 2016 when VBR was enacted, Medicaid payment rates for 2006 to 2015 were set primarily according to a facility’s historical costs from the period 1999-2006.  A facility received a fixed rate each year, largely independent of its annual costs. In some years, rates were inflation adjusted and a small proportion of the rate was adjusted to reflect actual costs incurred each year.  Overall, however, facilities experienced little payment rate growth.</w:t>
      </w:r>
    </w:p>
    <w:p w14:paraId="596E0686" w14:textId="77777777" w:rsidR="00FB7EDA" w:rsidRDefault="00FB7EDA" w:rsidP="00FB7EDA">
      <w:pPr>
        <w:spacing w:after="120" w:line="360" w:lineRule="auto"/>
        <w:ind w:firstLine="720"/>
        <w:textAlignment w:val="baseline"/>
        <w:rPr>
          <w:rFonts w:eastAsia="Times New Roman" w:cstheme="minorHAnsi"/>
          <w:color w:val="000000"/>
        </w:rPr>
      </w:pPr>
      <w:r w:rsidRPr="005D770A">
        <w:rPr>
          <w:rFonts w:eastAsia="Times New Roman" w:cstheme="minorHAnsi"/>
          <w:color w:val="000000"/>
        </w:rPr>
        <w:t>The</w:t>
      </w:r>
      <w:r>
        <w:rPr>
          <w:rFonts w:eastAsia="Times New Roman" w:cstheme="minorHAnsi"/>
          <w:color w:val="000000"/>
        </w:rPr>
        <w:t xml:space="preserve"> nursing home industry argued that this rate setting approach did not adequately recognize increased cost of care due to regulatory requirements, new technologies, or other changes in care delivery.  In addition, rates varied widely between facilities even among those caring for the same types of residents in a common geographical area.  Facilities with lower historical costs prior to 2006, and thus a lower fixed payment rate going forward, were particularly constrained in their ability to invest in resources that would improve care quality.</w:t>
      </w:r>
    </w:p>
    <w:p w14:paraId="6CFD2CED" w14:textId="77777777" w:rsidR="00FB7EDA" w:rsidRPr="002E1DB7" w:rsidRDefault="00FB7EDA" w:rsidP="00FB7EDA">
      <w:pPr>
        <w:spacing w:after="120" w:line="360" w:lineRule="auto"/>
        <w:ind w:firstLine="720"/>
        <w:textAlignment w:val="baseline"/>
        <w:rPr>
          <w:rFonts w:eastAsia="Times New Roman" w:cstheme="minorHAnsi"/>
          <w:color w:val="000000"/>
        </w:rPr>
      </w:pPr>
      <w:r w:rsidRPr="002E1DB7">
        <w:rPr>
          <w:rFonts w:eastAsia="Times New Roman" w:cstheme="minorHAnsi"/>
          <w:color w:val="000000"/>
        </w:rPr>
        <w:t xml:space="preserve">The </w:t>
      </w:r>
      <w:r>
        <w:rPr>
          <w:rFonts w:eastAsia="Times New Roman" w:cstheme="minorHAnsi"/>
          <w:color w:val="000000"/>
        </w:rPr>
        <w:t xml:space="preserve">new VBR system made fundamental changes in Medicaid rate setting.  First, it divided the majority operating costs into two main components: care related (nursing and other care-related) and other operating (administration, dietary, housekeeping, and laundry), with separate rates set for each component.  Second, it rebased each facility’s rate according to </w:t>
      </w:r>
      <w:r>
        <w:rPr>
          <w:rFonts w:eastAsia="Times New Roman" w:cstheme="minorHAnsi"/>
          <w:color w:val="000000"/>
        </w:rPr>
        <w:lastRenderedPageBreak/>
        <w:t>actual costs in cost reporting period two years prior.  System was designed to encourage facility expenditures on nursing and other care related areas, while economizing in other operating areas. The payment rate for the care related component, about 65% of total operating costs, was based on a facility’s reported costs.  To incentivize better care quality, the care related rate was subject to a limit set according to the facility’s VBR quality score (described below).  The higher a facility’s quality score, the higher the limit and the more the rate would reflect the facility’s actual costs.  In contrast, the other operating component of the rate was a price paid to all facilities throughout the state regardless of their costs.  Facilities were incentivized to reduce their other operating expenditures to avoid a loss and to maximize their profits.  The legislature anticipated that implementation of VBR would be costly, primarily because of increases in the care related rate component and, thus, added $350 Million to the Medicaid budget.</w:t>
      </w:r>
    </w:p>
    <w:p w14:paraId="47B16FAA" w14:textId="77777777" w:rsidR="00F92A37" w:rsidRPr="00FB7EDA" w:rsidRDefault="002F0BE3" w:rsidP="00FB7EDA">
      <w:pPr>
        <w:spacing w:line="360" w:lineRule="auto"/>
        <w:textAlignment w:val="baseline"/>
        <w:rPr>
          <w:rFonts w:eastAsia="Times New Roman" w:cstheme="minorHAnsi"/>
          <w:i/>
          <w:iCs/>
          <w:color w:val="000000"/>
        </w:rPr>
      </w:pPr>
      <w:r>
        <w:rPr>
          <w:rFonts w:eastAsia="Times New Roman" w:cstheme="minorHAnsi"/>
          <w:i/>
          <w:iCs/>
          <w:color w:val="000000"/>
        </w:rPr>
        <w:t>Facility Ownership and Response to VBR</w:t>
      </w:r>
    </w:p>
    <w:p w14:paraId="7D15B86D" w14:textId="77777777" w:rsidR="00842822" w:rsidRDefault="002F0BE3" w:rsidP="002F0BE3">
      <w:pPr>
        <w:spacing w:after="120" w:line="360" w:lineRule="auto"/>
        <w:ind w:firstLine="720"/>
        <w:textAlignment w:val="baseline"/>
        <w:rPr>
          <w:rFonts w:eastAsia="Times New Roman" w:cstheme="minorHAnsi"/>
          <w:color w:val="000000"/>
        </w:rPr>
      </w:pPr>
      <w:r w:rsidRPr="00CE791B">
        <w:rPr>
          <w:rFonts w:eastAsia="Times New Roman" w:cstheme="minorHAnsi"/>
          <w:color w:val="000000"/>
        </w:rPr>
        <w:t xml:space="preserve">Because non-profit and governmental facilities tend to have operating strategies that focus on care quality as opposed to profit, we expect them to </w:t>
      </w:r>
      <w:r w:rsidR="00322E14" w:rsidRPr="00CE791B">
        <w:rPr>
          <w:rFonts w:eastAsia="Times New Roman" w:cstheme="minorHAnsi"/>
          <w:color w:val="000000"/>
        </w:rPr>
        <w:t>deliver better car</w:t>
      </w:r>
      <w:r w:rsidR="00B8773A">
        <w:rPr>
          <w:rFonts w:eastAsia="Times New Roman" w:cstheme="minorHAnsi"/>
          <w:color w:val="000000"/>
        </w:rPr>
        <w:t xml:space="preserve">e than </w:t>
      </w:r>
      <w:r w:rsidR="00B4220C">
        <w:rPr>
          <w:rFonts w:eastAsia="Times New Roman" w:cstheme="minorHAnsi"/>
          <w:color w:val="000000"/>
        </w:rPr>
        <w:t>For-profit</w:t>
      </w:r>
      <w:r w:rsidR="00B8773A">
        <w:rPr>
          <w:rFonts w:eastAsia="Times New Roman" w:cstheme="minorHAnsi"/>
          <w:color w:val="000000"/>
        </w:rPr>
        <w:t xml:space="preserve"> facilities during the pre-VBR period (2013-2015)</w:t>
      </w:r>
      <w:r w:rsidRPr="00CE791B">
        <w:rPr>
          <w:rFonts w:eastAsia="Times New Roman" w:cstheme="minorHAnsi"/>
          <w:color w:val="000000"/>
        </w:rPr>
        <w:t xml:space="preserve">.  </w:t>
      </w:r>
      <w:r w:rsidR="00CE791B">
        <w:rPr>
          <w:rFonts w:eastAsia="Times New Roman" w:cstheme="minorHAnsi"/>
          <w:color w:val="000000"/>
        </w:rPr>
        <w:t>We also expect</w:t>
      </w:r>
      <w:r w:rsidR="00B8773A">
        <w:rPr>
          <w:rFonts w:eastAsia="Times New Roman" w:cstheme="minorHAnsi"/>
          <w:color w:val="000000"/>
        </w:rPr>
        <w:t xml:space="preserve"> them </w:t>
      </w:r>
      <w:r w:rsidRPr="00CE791B">
        <w:rPr>
          <w:rFonts w:eastAsia="Times New Roman" w:cstheme="minorHAnsi"/>
          <w:color w:val="000000"/>
        </w:rPr>
        <w:t xml:space="preserve">to direct </w:t>
      </w:r>
      <w:r w:rsidR="00CE791B">
        <w:rPr>
          <w:rFonts w:eastAsia="Times New Roman" w:cstheme="minorHAnsi"/>
          <w:color w:val="000000"/>
        </w:rPr>
        <w:t xml:space="preserve">more of their </w:t>
      </w:r>
      <w:r w:rsidRPr="00CE791B">
        <w:rPr>
          <w:rFonts w:eastAsia="Times New Roman" w:cstheme="minorHAnsi"/>
          <w:color w:val="000000"/>
        </w:rPr>
        <w:t xml:space="preserve">revenue into nursing and other care-related areas </w:t>
      </w:r>
      <w:r w:rsidR="00B8773A">
        <w:rPr>
          <w:rFonts w:eastAsia="Times New Roman" w:cstheme="minorHAnsi"/>
          <w:color w:val="000000"/>
        </w:rPr>
        <w:t xml:space="preserve">in </w:t>
      </w:r>
      <w:r w:rsidR="008316EF">
        <w:rPr>
          <w:rFonts w:eastAsia="Times New Roman" w:cstheme="minorHAnsi"/>
          <w:color w:val="000000"/>
        </w:rPr>
        <w:t xml:space="preserve">order </w:t>
      </w:r>
      <w:r w:rsidR="00B8773A">
        <w:rPr>
          <w:rFonts w:eastAsia="Times New Roman" w:cstheme="minorHAnsi"/>
          <w:color w:val="000000"/>
        </w:rPr>
        <w:t xml:space="preserve">to </w:t>
      </w:r>
      <w:r w:rsidRPr="00CE791B">
        <w:rPr>
          <w:rFonts w:eastAsia="Times New Roman" w:cstheme="minorHAnsi"/>
          <w:color w:val="000000"/>
        </w:rPr>
        <w:t xml:space="preserve">achieve better care quality.  </w:t>
      </w:r>
      <w:r w:rsidR="00CE791B">
        <w:rPr>
          <w:rFonts w:eastAsia="Times New Roman" w:cstheme="minorHAnsi"/>
          <w:color w:val="000000"/>
        </w:rPr>
        <w:t>After introduction of the new VBR system</w:t>
      </w:r>
      <w:r w:rsidR="00BB1E7B">
        <w:rPr>
          <w:rFonts w:eastAsia="Times New Roman" w:cstheme="minorHAnsi"/>
          <w:color w:val="000000"/>
        </w:rPr>
        <w:t xml:space="preserve"> (2016-2017)</w:t>
      </w:r>
      <w:r w:rsidR="00CE791B">
        <w:rPr>
          <w:rFonts w:eastAsia="Times New Roman" w:cstheme="minorHAnsi"/>
          <w:color w:val="000000"/>
        </w:rPr>
        <w:t xml:space="preserve">, </w:t>
      </w:r>
      <w:r w:rsidR="00842822">
        <w:rPr>
          <w:rFonts w:eastAsia="Times New Roman" w:cstheme="minorHAnsi"/>
          <w:color w:val="000000"/>
        </w:rPr>
        <w:t>we expected non-profit and governmental facilities to both invest more in care-related areas and achieve even higher quality.</w:t>
      </w:r>
      <w:r w:rsidR="00B8773A">
        <w:rPr>
          <w:rFonts w:eastAsia="Times New Roman" w:cstheme="minorHAnsi"/>
          <w:color w:val="000000"/>
        </w:rPr>
        <w:t xml:space="preserve">  On the other hand, </w:t>
      </w:r>
      <w:r w:rsidR="008316EF">
        <w:rPr>
          <w:rFonts w:eastAsia="Times New Roman" w:cstheme="minorHAnsi"/>
          <w:color w:val="000000"/>
        </w:rPr>
        <w:t xml:space="preserve">we do not </w:t>
      </w:r>
      <w:r w:rsidR="00B8773A">
        <w:rPr>
          <w:rFonts w:eastAsia="Times New Roman" w:cstheme="minorHAnsi"/>
          <w:color w:val="000000"/>
        </w:rPr>
        <w:t xml:space="preserve">expect </w:t>
      </w:r>
      <w:r w:rsidR="008316EF">
        <w:rPr>
          <w:rFonts w:eastAsia="Times New Roman" w:cstheme="minorHAnsi"/>
          <w:color w:val="000000"/>
        </w:rPr>
        <w:t xml:space="preserve">them to have a </w:t>
      </w:r>
      <w:r w:rsidR="00B8773A">
        <w:rPr>
          <w:rFonts w:eastAsia="Times New Roman" w:cstheme="minorHAnsi"/>
          <w:color w:val="000000"/>
        </w:rPr>
        <w:t xml:space="preserve">strong response to the </w:t>
      </w:r>
      <w:r w:rsidR="008316EF">
        <w:rPr>
          <w:rFonts w:eastAsia="Times New Roman" w:cstheme="minorHAnsi"/>
          <w:color w:val="000000"/>
        </w:rPr>
        <w:t xml:space="preserve">profit </w:t>
      </w:r>
      <w:r w:rsidR="00B8773A">
        <w:rPr>
          <w:rFonts w:eastAsia="Times New Roman" w:cstheme="minorHAnsi"/>
          <w:color w:val="000000"/>
        </w:rPr>
        <w:t>incentive associated with the other operating component of the rate.</w:t>
      </w:r>
    </w:p>
    <w:p w14:paraId="45512E79" w14:textId="5B561DF1" w:rsidR="002F0BE3" w:rsidRDefault="00B8773A" w:rsidP="002F0BE3">
      <w:pPr>
        <w:spacing w:after="120" w:line="360" w:lineRule="auto"/>
        <w:ind w:firstLine="720"/>
        <w:textAlignment w:val="baseline"/>
        <w:rPr>
          <w:rFonts w:eastAsia="Times New Roman" w:cstheme="minorHAnsi"/>
          <w:color w:val="000000"/>
        </w:rPr>
      </w:pPr>
      <w:r>
        <w:rPr>
          <w:rFonts w:eastAsia="Times New Roman" w:cstheme="minorHAnsi"/>
          <w:color w:val="000000"/>
        </w:rPr>
        <w:t xml:space="preserve">We expect </w:t>
      </w:r>
      <w:r w:rsidR="002F0BE3" w:rsidRPr="00CE791B">
        <w:rPr>
          <w:rFonts w:eastAsia="Times New Roman" w:cstheme="minorHAnsi"/>
          <w:color w:val="000000"/>
        </w:rPr>
        <w:t xml:space="preserve">for-profit facilities </w:t>
      </w:r>
      <w:r>
        <w:rPr>
          <w:rFonts w:eastAsia="Times New Roman" w:cstheme="minorHAnsi"/>
          <w:color w:val="000000"/>
        </w:rPr>
        <w:t>to have lower quality of care than other ownership types during the pre-VBR period (2013-2015)</w:t>
      </w:r>
      <w:r w:rsidR="00BB1E7B">
        <w:rPr>
          <w:rFonts w:eastAsia="Times New Roman" w:cstheme="minorHAnsi"/>
          <w:color w:val="000000"/>
        </w:rPr>
        <w:t xml:space="preserve">.  We expect them to have </w:t>
      </w:r>
      <w:r>
        <w:rPr>
          <w:rFonts w:eastAsia="Times New Roman" w:cstheme="minorHAnsi"/>
          <w:color w:val="000000"/>
        </w:rPr>
        <w:t xml:space="preserve">a significant increase in quality </w:t>
      </w:r>
      <w:r w:rsidR="00A54563">
        <w:rPr>
          <w:rFonts w:eastAsia="Times New Roman" w:cstheme="minorHAnsi"/>
          <w:color w:val="000000"/>
        </w:rPr>
        <w:t xml:space="preserve">after </w:t>
      </w:r>
      <w:r>
        <w:rPr>
          <w:rFonts w:eastAsia="Times New Roman" w:cstheme="minorHAnsi"/>
          <w:color w:val="000000"/>
        </w:rPr>
        <w:t>VBR as they respond to</w:t>
      </w:r>
      <w:r w:rsidR="00A54563">
        <w:rPr>
          <w:rFonts w:eastAsia="Times New Roman" w:cstheme="minorHAnsi"/>
          <w:color w:val="000000"/>
        </w:rPr>
        <w:t xml:space="preserve"> </w:t>
      </w:r>
      <w:r>
        <w:rPr>
          <w:rFonts w:eastAsia="Times New Roman" w:cstheme="minorHAnsi"/>
          <w:color w:val="000000"/>
        </w:rPr>
        <w:t xml:space="preserve">financial incentives.  </w:t>
      </w:r>
      <w:r w:rsidR="002F0BE3" w:rsidRPr="00CE791B">
        <w:rPr>
          <w:rFonts w:eastAsia="Times New Roman" w:cstheme="minorHAnsi"/>
          <w:color w:val="000000"/>
        </w:rPr>
        <w:t xml:space="preserve">Because of the </w:t>
      </w:r>
      <w:r w:rsidR="00BB1E7B">
        <w:rPr>
          <w:rFonts w:eastAsia="Times New Roman" w:cstheme="minorHAnsi"/>
          <w:color w:val="000000"/>
        </w:rPr>
        <w:t xml:space="preserve">profit </w:t>
      </w:r>
      <w:r w:rsidR="002F0BE3" w:rsidRPr="00CE791B">
        <w:rPr>
          <w:rFonts w:eastAsia="Times New Roman" w:cstheme="minorHAnsi"/>
          <w:color w:val="000000"/>
        </w:rPr>
        <w:t xml:space="preserve">incentive associated with the other operating component of the rate, i.e. fixed price regardless of costs, </w:t>
      </w:r>
      <w:r>
        <w:rPr>
          <w:rFonts w:eastAsia="Times New Roman" w:cstheme="minorHAnsi"/>
          <w:color w:val="000000"/>
        </w:rPr>
        <w:t>we expect for-</w:t>
      </w:r>
      <w:r w:rsidR="002F0BE3" w:rsidRPr="00CE791B">
        <w:rPr>
          <w:rFonts w:eastAsia="Times New Roman" w:cstheme="minorHAnsi"/>
          <w:color w:val="000000"/>
        </w:rPr>
        <w:t xml:space="preserve">profit </w:t>
      </w:r>
      <w:r>
        <w:rPr>
          <w:rFonts w:eastAsia="Times New Roman" w:cstheme="minorHAnsi"/>
          <w:color w:val="000000"/>
        </w:rPr>
        <w:t xml:space="preserve">to </w:t>
      </w:r>
      <w:r w:rsidR="002F0BE3" w:rsidRPr="00CE791B">
        <w:rPr>
          <w:rFonts w:eastAsia="Times New Roman" w:cstheme="minorHAnsi"/>
          <w:color w:val="000000"/>
        </w:rPr>
        <w:t>reduc</w:t>
      </w:r>
      <w:r>
        <w:rPr>
          <w:rFonts w:eastAsia="Times New Roman" w:cstheme="minorHAnsi"/>
          <w:color w:val="000000"/>
        </w:rPr>
        <w:t>e</w:t>
      </w:r>
      <w:r w:rsidR="002F0BE3" w:rsidRPr="00CE791B">
        <w:rPr>
          <w:rFonts w:eastAsia="Times New Roman" w:cstheme="minorHAnsi"/>
          <w:color w:val="000000"/>
        </w:rPr>
        <w:t xml:space="preserve"> their expenditures in this area to bring </w:t>
      </w:r>
      <w:r w:rsidR="00BB1E7B">
        <w:rPr>
          <w:rFonts w:eastAsia="Times New Roman" w:cstheme="minorHAnsi"/>
          <w:color w:val="000000"/>
        </w:rPr>
        <w:t xml:space="preserve">their </w:t>
      </w:r>
      <w:r w:rsidR="002F0BE3" w:rsidRPr="00CE791B">
        <w:rPr>
          <w:rFonts w:eastAsia="Times New Roman" w:cstheme="minorHAnsi"/>
          <w:color w:val="000000"/>
        </w:rPr>
        <w:t>costs below the price.</w:t>
      </w:r>
    </w:p>
    <w:p w14:paraId="5670C1FB" w14:textId="11C791B4" w:rsidR="00783451" w:rsidRPr="00285F0D" w:rsidRDefault="0005254F" w:rsidP="002F0BE3">
      <w:pPr>
        <w:spacing w:after="120" w:line="360" w:lineRule="auto"/>
        <w:ind w:firstLine="720"/>
        <w:textAlignment w:val="baseline"/>
        <w:rPr>
          <w:rFonts w:eastAsia="Times New Roman" w:cstheme="minorHAnsi"/>
          <w:i/>
          <w:iCs/>
          <w:color w:val="000000"/>
        </w:rPr>
      </w:pPr>
      <w:r>
        <w:rPr>
          <w:rFonts w:eastAsia="Times New Roman" w:cstheme="minorHAnsi"/>
          <w:color w:val="000000"/>
        </w:rPr>
        <w:t>Because of their lower overall quality</w:t>
      </w:r>
      <w:r w:rsidR="00783451">
        <w:rPr>
          <w:rFonts w:eastAsia="Times New Roman" w:cstheme="minorHAnsi"/>
          <w:color w:val="000000"/>
        </w:rPr>
        <w:t xml:space="preserve">, we expect </w:t>
      </w:r>
      <w:r w:rsidR="002A2F14">
        <w:rPr>
          <w:rFonts w:eastAsia="Times New Roman" w:cstheme="minorHAnsi"/>
          <w:color w:val="000000"/>
        </w:rPr>
        <w:t>for</w:t>
      </w:r>
      <w:r w:rsidR="00B4220C">
        <w:rPr>
          <w:rFonts w:eastAsia="Times New Roman" w:cstheme="minorHAnsi"/>
          <w:color w:val="000000"/>
        </w:rPr>
        <w:t>-profit</w:t>
      </w:r>
      <w:r>
        <w:rPr>
          <w:rFonts w:eastAsia="Times New Roman" w:cstheme="minorHAnsi"/>
          <w:color w:val="000000"/>
        </w:rPr>
        <w:t xml:space="preserve"> facilities will have a more difficult time attracting residents. As a result, they will have lower occupancy rates than non-</w:t>
      </w:r>
      <w:r>
        <w:rPr>
          <w:rFonts w:eastAsia="Times New Roman" w:cstheme="minorHAnsi"/>
          <w:color w:val="000000"/>
        </w:rPr>
        <w:lastRenderedPageBreak/>
        <w:t>profit or governmental facilities, particularly during the pre-VBR period.  After VBR, occupancy rates in for-profit facilities should improve with increased investment in care related services and improved quality of care.</w:t>
      </w:r>
    </w:p>
    <w:p w14:paraId="3ECE94D9" w14:textId="77777777" w:rsidR="00FB7EDA" w:rsidRPr="00F92A37" w:rsidRDefault="00FB7EDA" w:rsidP="00FB7EDA">
      <w:pPr>
        <w:spacing w:line="360" w:lineRule="auto"/>
        <w:textAlignment w:val="baseline"/>
        <w:rPr>
          <w:rFonts w:eastAsia="Times New Roman" w:cstheme="minorHAnsi"/>
          <w:color w:val="000000"/>
        </w:rPr>
      </w:pPr>
    </w:p>
    <w:p w14:paraId="16311A6F" w14:textId="77777777" w:rsidR="00234A1B" w:rsidRPr="000D6C95" w:rsidRDefault="00814746" w:rsidP="000D6C95">
      <w:pPr>
        <w:spacing w:line="360" w:lineRule="auto"/>
        <w:textAlignment w:val="baseline"/>
        <w:rPr>
          <w:rFonts w:eastAsia="Times New Roman" w:cstheme="minorHAnsi"/>
          <w:b/>
          <w:color w:val="000000"/>
        </w:rPr>
      </w:pPr>
      <w:r w:rsidRPr="000D6C95">
        <w:rPr>
          <w:rFonts w:eastAsia="Times New Roman" w:cstheme="minorHAnsi"/>
          <w:b/>
          <w:color w:val="000000"/>
        </w:rPr>
        <w:t>Methods</w:t>
      </w:r>
    </w:p>
    <w:p w14:paraId="74CFC061" w14:textId="77777777" w:rsidR="005035F5" w:rsidRDefault="000D6C95" w:rsidP="00C04563">
      <w:pPr>
        <w:spacing w:after="120" w:line="360" w:lineRule="auto"/>
        <w:ind w:firstLine="720"/>
        <w:rPr>
          <w:rFonts w:cstheme="minorHAnsi"/>
        </w:rPr>
      </w:pPr>
      <w:r w:rsidRPr="000D6C95">
        <w:rPr>
          <w:rFonts w:cstheme="minorHAnsi"/>
        </w:rPr>
        <w:t xml:space="preserve">Because VBR was implemented statewide at a single point in time, we </w:t>
      </w:r>
      <w:r w:rsidR="00B000AE">
        <w:rPr>
          <w:rFonts w:cstheme="minorHAnsi"/>
        </w:rPr>
        <w:t xml:space="preserve">lacked a </w:t>
      </w:r>
      <w:r w:rsidR="00F947CB">
        <w:rPr>
          <w:rFonts w:cstheme="minorHAnsi"/>
        </w:rPr>
        <w:t>natural</w:t>
      </w:r>
      <w:r w:rsidR="00B000AE">
        <w:rPr>
          <w:rFonts w:cstheme="minorHAnsi"/>
        </w:rPr>
        <w:t xml:space="preserve"> </w:t>
      </w:r>
      <w:r w:rsidRPr="000D6C95">
        <w:rPr>
          <w:rFonts w:cstheme="minorHAnsi"/>
        </w:rPr>
        <w:t>comparison group</w:t>
      </w:r>
      <w:r w:rsidR="00B000AE">
        <w:rPr>
          <w:rFonts w:cstheme="minorHAnsi"/>
        </w:rPr>
        <w:t>.</w:t>
      </w:r>
      <w:r w:rsidRPr="000D6C95">
        <w:rPr>
          <w:rFonts w:cstheme="minorHAnsi"/>
        </w:rPr>
        <w:t xml:space="preserve"> We </w:t>
      </w:r>
      <w:r w:rsidR="00F947CB">
        <w:rPr>
          <w:rFonts w:cstheme="minorHAnsi"/>
        </w:rPr>
        <w:t xml:space="preserve">relied </w:t>
      </w:r>
      <w:r w:rsidR="009E03C8">
        <w:rPr>
          <w:rFonts w:cstheme="minorHAnsi"/>
        </w:rPr>
        <w:t xml:space="preserve">instead </w:t>
      </w:r>
      <w:r w:rsidR="00F947CB">
        <w:rPr>
          <w:rFonts w:cstheme="minorHAnsi"/>
        </w:rPr>
        <w:t xml:space="preserve">on </w:t>
      </w:r>
      <w:r w:rsidRPr="000D6C95">
        <w:rPr>
          <w:rFonts w:cstheme="minorHAnsi"/>
        </w:rPr>
        <w:t xml:space="preserve">pre/post design </w:t>
      </w:r>
      <w:r w:rsidR="00B000AE">
        <w:rPr>
          <w:rFonts w:cstheme="minorHAnsi"/>
        </w:rPr>
        <w:t xml:space="preserve">tracking </w:t>
      </w:r>
      <w:r w:rsidRPr="000D6C95">
        <w:rPr>
          <w:rFonts w:cstheme="minorHAnsi"/>
        </w:rPr>
        <w:t>trends in outcomes, before (2013-2015) and after (201</w:t>
      </w:r>
      <w:r w:rsidR="007D065B">
        <w:rPr>
          <w:rFonts w:cstheme="minorHAnsi"/>
        </w:rPr>
        <w:t>6</w:t>
      </w:r>
      <w:r w:rsidRPr="000D6C95">
        <w:rPr>
          <w:rFonts w:cstheme="minorHAnsi"/>
        </w:rPr>
        <w:t>-201</w:t>
      </w:r>
      <w:r w:rsidR="007D065B">
        <w:rPr>
          <w:rFonts w:cstheme="minorHAnsi"/>
        </w:rPr>
        <w:t>7</w:t>
      </w:r>
      <w:r w:rsidRPr="000D6C95">
        <w:rPr>
          <w:rFonts w:cstheme="minorHAnsi"/>
        </w:rPr>
        <w:t>) implementation of VBR.</w:t>
      </w:r>
    </w:p>
    <w:p w14:paraId="611441F2" w14:textId="77777777" w:rsidR="00867AAA" w:rsidRPr="005035F5" w:rsidRDefault="00867AAA" w:rsidP="005035F5">
      <w:pPr>
        <w:spacing w:after="120" w:line="360" w:lineRule="auto"/>
        <w:ind w:firstLine="720"/>
      </w:pPr>
      <w:r>
        <w:t xml:space="preserve">The sample consisted of all of the state’s 348 skilled nursing facilities which had data for the five </w:t>
      </w:r>
      <w:r w:rsidR="00101DD0">
        <w:t xml:space="preserve">year </w:t>
      </w:r>
      <w:r>
        <w:t xml:space="preserve">period (2013-2017).  </w:t>
      </w:r>
      <w:r>
        <w:rPr>
          <w:rFonts w:cstheme="minorHAnsi"/>
        </w:rPr>
        <w:t>D</w:t>
      </w:r>
      <w:r w:rsidRPr="000D6C95">
        <w:rPr>
          <w:rFonts w:cstheme="minorHAnsi"/>
        </w:rPr>
        <w:t xml:space="preserve">ata came from </w:t>
      </w:r>
      <w:r>
        <w:rPr>
          <w:rFonts w:cstheme="minorHAnsi"/>
        </w:rPr>
        <w:t>three sources</w:t>
      </w:r>
      <w:r w:rsidR="007005E4">
        <w:rPr>
          <w:rFonts w:cstheme="minorHAnsi"/>
        </w:rPr>
        <w:t>.  Cost data came</w:t>
      </w:r>
      <w:r w:rsidR="005035F5">
        <w:rPr>
          <w:rFonts w:cstheme="minorHAnsi"/>
        </w:rPr>
        <w:t xml:space="preserve"> </w:t>
      </w:r>
      <w:r w:rsidR="007005E4">
        <w:rPr>
          <w:rFonts w:cstheme="minorHAnsi"/>
        </w:rPr>
        <w:t xml:space="preserve">from </w:t>
      </w:r>
      <w:r w:rsidR="00101DD0">
        <w:rPr>
          <w:rFonts w:cstheme="minorHAnsi"/>
        </w:rPr>
        <w:t>a</w:t>
      </w:r>
      <w:r>
        <w:rPr>
          <w:rFonts w:cstheme="minorHAnsi"/>
        </w:rPr>
        <w:t xml:space="preserve">nnual </w:t>
      </w:r>
      <w:r w:rsidRPr="000D6C95">
        <w:rPr>
          <w:rFonts w:cstheme="minorHAnsi"/>
        </w:rPr>
        <w:t>Medicaid cost reports</w:t>
      </w:r>
      <w:r w:rsidR="00101DD0">
        <w:rPr>
          <w:rFonts w:cstheme="minorHAnsi"/>
        </w:rPr>
        <w:t xml:space="preserve"> submitted to the state annually by facilities detailing </w:t>
      </w:r>
      <w:r w:rsidR="007005E4">
        <w:rPr>
          <w:rFonts w:cstheme="minorHAnsi"/>
        </w:rPr>
        <w:t xml:space="preserve">their care-related costs (e.g., </w:t>
      </w:r>
      <w:r w:rsidR="00101DD0">
        <w:rPr>
          <w:rFonts w:cstheme="minorHAnsi"/>
        </w:rPr>
        <w:t>nursing</w:t>
      </w:r>
      <w:r w:rsidR="007005E4">
        <w:rPr>
          <w:rFonts w:cstheme="minorHAnsi"/>
        </w:rPr>
        <w:t>, activities, social work, and medical records</w:t>
      </w:r>
      <w:r w:rsidR="005035F5">
        <w:rPr>
          <w:rFonts w:cstheme="minorHAnsi"/>
        </w:rPr>
        <w:t xml:space="preserve"> services and supplies</w:t>
      </w:r>
      <w:r w:rsidR="007005E4">
        <w:rPr>
          <w:rFonts w:cstheme="minorHAnsi"/>
        </w:rPr>
        <w:t>) and other operating costs (e.g., administrative, dietary, laundry, and housekeeping</w:t>
      </w:r>
      <w:r w:rsidR="005035F5">
        <w:rPr>
          <w:rFonts w:cstheme="minorHAnsi"/>
        </w:rPr>
        <w:t xml:space="preserve"> services and supplies</w:t>
      </w:r>
      <w:r w:rsidR="007005E4">
        <w:rPr>
          <w:rFonts w:cstheme="minorHAnsi"/>
        </w:rPr>
        <w:t xml:space="preserve">).  </w:t>
      </w:r>
      <w:r w:rsidR="00380DED">
        <w:rPr>
          <w:rFonts w:cstheme="minorHAnsi"/>
        </w:rPr>
        <w:t xml:space="preserve">Data on facility characteristics (e.g., </w:t>
      </w:r>
      <w:r w:rsidR="007005E4">
        <w:rPr>
          <w:rFonts w:cstheme="minorHAnsi"/>
        </w:rPr>
        <w:t>ownership type, resident days, occupancy</w:t>
      </w:r>
      <w:r w:rsidR="00380DED">
        <w:rPr>
          <w:rFonts w:cstheme="minorHAnsi"/>
        </w:rPr>
        <w:t xml:space="preserve">) came from other state </w:t>
      </w:r>
      <w:r w:rsidR="00380DED" w:rsidRPr="000D6C95">
        <w:rPr>
          <w:rFonts w:cstheme="minorHAnsi"/>
        </w:rPr>
        <w:t>administrative files</w:t>
      </w:r>
      <w:r w:rsidR="007005E4">
        <w:rPr>
          <w:rFonts w:cstheme="minorHAnsi"/>
        </w:rPr>
        <w:t xml:space="preserve">. </w:t>
      </w:r>
      <w:r w:rsidR="00380DED">
        <w:rPr>
          <w:rFonts w:cstheme="minorHAnsi"/>
        </w:rPr>
        <w:t xml:space="preserve">Measures of care quality came from the </w:t>
      </w:r>
      <w:r w:rsidRPr="000D6C95">
        <w:rPr>
          <w:rFonts w:cstheme="minorHAnsi"/>
        </w:rPr>
        <w:t xml:space="preserve">Minnesota Nursing Home </w:t>
      </w:r>
      <w:r>
        <w:rPr>
          <w:rFonts w:cstheme="minorHAnsi"/>
        </w:rPr>
        <w:t xml:space="preserve">Quality </w:t>
      </w:r>
      <w:r w:rsidRPr="000D6C95">
        <w:rPr>
          <w:rFonts w:cstheme="minorHAnsi"/>
        </w:rPr>
        <w:t>Report Card</w:t>
      </w:r>
      <w:r w:rsidR="00380DED">
        <w:rPr>
          <w:rFonts w:cstheme="minorHAnsi"/>
        </w:rPr>
        <w:t>, a</w:t>
      </w:r>
      <w:r w:rsidR="00E73625">
        <w:rPr>
          <w:rFonts w:cstheme="minorHAnsi"/>
        </w:rPr>
        <w:t xml:space="preserve"> </w:t>
      </w:r>
      <w:r w:rsidR="005035F5">
        <w:rPr>
          <w:rFonts w:cstheme="minorHAnsi"/>
        </w:rPr>
        <w:t>comprehensive public reporting system containing facility-level performance on clinical quality indicators, results from quality of life and consumer satisfaction surveys, and regulatory findings</w:t>
      </w:r>
      <w:r w:rsidR="00E73625">
        <w:rPr>
          <w:rFonts w:cstheme="minorHAnsi"/>
        </w:rPr>
        <w:t xml:space="preserve"> </w:t>
      </w:r>
      <w:r w:rsidR="00E73625">
        <w:rPr>
          <w:rFonts w:cstheme="minorHAnsi"/>
        </w:rPr>
        <w:fldChar w:fldCharType="begin"/>
      </w:r>
      <w:r w:rsidR="00E73625">
        <w:rPr>
          <w:rFonts w:cstheme="minorHAnsi"/>
        </w:rPr>
        <w:instrText xml:space="preserve"> ADDIN EN.CITE &lt;EndNote&gt;&lt;Cite&gt;&lt;Author&gt;DHS&lt;/Author&gt;&lt;Year&gt;2019&lt;/Year&gt;&lt;RecNum&gt;24&lt;/RecNum&gt;&lt;DisplayText&gt;(DHS, 2019)&lt;/DisplayText&gt;&lt;record&gt;&lt;rec-number&gt;24&lt;/rec-number&gt;&lt;foreign-keys&gt;&lt;key app="EN" db-id="sa9t29sauxts0kervr1pzp9xz2fxvvwd50ws" timestamp="1558963079"&gt;24&lt;/key&gt;&lt;/foreign-keys&gt;&lt;ref-type name="Web Page"&gt;12&lt;/ref-type&gt;&lt;contributors&gt;&lt;authors&gt;&lt;author&gt;DHS&lt;/author&gt;&lt;/authors&gt;&lt;/contributors&gt;&lt;titles&gt;&lt;title&gt;Minnesota Nursing Home Report Card, Technical Guide&lt;/title&gt;&lt;/titles&gt;&lt;volume&gt;2019&lt;/volume&gt;&lt;number&gt;January 30&lt;/number&gt;&lt;dates&gt;&lt;year&gt;2019&lt;/year&gt;&lt;/dates&gt;&lt;urls&gt;&lt;related-urls&gt;&lt;url&gt;http://nhreportcard.dhs.mn.gov/technicaluserguide.pdf&lt;/url&gt;&lt;/related-urls&gt;&lt;/urls&gt;&lt;/record&gt;&lt;/Cite&gt;&lt;/EndNote&gt;</w:instrText>
      </w:r>
      <w:r w:rsidR="00E73625">
        <w:rPr>
          <w:rFonts w:cstheme="minorHAnsi"/>
        </w:rPr>
        <w:fldChar w:fldCharType="separate"/>
      </w:r>
      <w:r w:rsidR="00E73625">
        <w:rPr>
          <w:rFonts w:cstheme="minorHAnsi"/>
          <w:noProof/>
        </w:rPr>
        <w:t>(DHS, 2019)</w:t>
      </w:r>
      <w:r w:rsidR="00E73625">
        <w:rPr>
          <w:rFonts w:cstheme="minorHAnsi"/>
        </w:rPr>
        <w:fldChar w:fldCharType="end"/>
      </w:r>
      <w:r w:rsidR="005035F5">
        <w:rPr>
          <w:rFonts w:cstheme="minorHAnsi"/>
        </w:rPr>
        <w:t>.</w:t>
      </w:r>
    </w:p>
    <w:p w14:paraId="6132D2BA" w14:textId="302D5021" w:rsidR="005035F5" w:rsidRDefault="005035F5" w:rsidP="00C04563">
      <w:pPr>
        <w:spacing w:after="120" w:line="360" w:lineRule="auto"/>
        <w:ind w:firstLine="720"/>
      </w:pPr>
      <w:r>
        <w:t>Facility ownership types were for-profit, non-profit (largely religiously affiliated), and governmental (largely county governments).  We modeled t</w:t>
      </w:r>
      <w:r w:rsidR="00C04563">
        <w:t>hree outcome variables: total care-related cost per resident day, occupancy percentage, and quality score. Total care-</w:t>
      </w:r>
      <w:r w:rsidR="002A2F14">
        <w:t>related cost</w:t>
      </w:r>
      <w:r w:rsidR="00C04563">
        <w:t xml:space="preserve"> per day was calculated as the annual facility expenditures for nursing and other care related staff, services, and supplies divided by the annual number of resident days (unique residents multiplied by their length of stay, summed). Occupancy percentage was calculated as the annual resident days divided by the 2013 annual capacity (capacity being the number of licensed beds multiplied by the number of days they were licensed). The number of licensed beds is fluid from year to year which causes occupancy percentage change to be a function of both the numerator and the denominator. As our interest was in the change in resident days, we fixed the capacity to the baseline year.</w:t>
      </w:r>
    </w:p>
    <w:p w14:paraId="75CB2666" w14:textId="77777777" w:rsidR="00C04563" w:rsidRPr="002674CE" w:rsidRDefault="00C04563" w:rsidP="0005254F">
      <w:pPr>
        <w:spacing w:line="360" w:lineRule="auto"/>
        <w:ind w:firstLine="720"/>
        <w:rPr>
          <w:rFonts w:eastAsia="Times New Roman" w:cstheme="minorHAnsi"/>
          <w:color w:val="000000"/>
        </w:rPr>
      </w:pPr>
      <w:r w:rsidRPr="00780AB1">
        <w:rPr>
          <w:rFonts w:cstheme="minorHAnsi"/>
        </w:rPr>
        <w:lastRenderedPageBreak/>
        <w:t xml:space="preserve">The quality score </w:t>
      </w:r>
      <w:r w:rsidR="00561F8C" w:rsidRPr="00780AB1">
        <w:rPr>
          <w:rFonts w:cstheme="minorHAnsi"/>
        </w:rPr>
        <w:t xml:space="preserve">is a composite measure designed by the </w:t>
      </w:r>
      <w:r w:rsidRPr="00780AB1">
        <w:rPr>
          <w:rFonts w:cstheme="minorHAnsi"/>
        </w:rPr>
        <w:t xml:space="preserve">state of Minnesota which </w:t>
      </w:r>
      <w:r w:rsidR="00521455" w:rsidRPr="00780AB1">
        <w:rPr>
          <w:rFonts w:cstheme="minorHAnsi"/>
        </w:rPr>
        <w:t>i</w:t>
      </w:r>
      <w:r w:rsidR="00561F8C" w:rsidRPr="00780AB1">
        <w:rPr>
          <w:rFonts w:cstheme="minorHAnsi"/>
        </w:rPr>
        <w:t xml:space="preserve">s </w:t>
      </w:r>
      <w:r w:rsidRPr="00780AB1">
        <w:rPr>
          <w:rFonts w:cstheme="minorHAnsi"/>
        </w:rPr>
        <w:t>comprised of three</w:t>
      </w:r>
      <w:r w:rsidR="00521455" w:rsidRPr="00780AB1">
        <w:rPr>
          <w:rFonts w:cstheme="minorHAnsi"/>
        </w:rPr>
        <w:t xml:space="preserve"> </w:t>
      </w:r>
      <w:r w:rsidRPr="00780AB1">
        <w:rPr>
          <w:rFonts w:cstheme="minorHAnsi"/>
        </w:rPr>
        <w:t>component</w:t>
      </w:r>
      <w:r w:rsidR="00561F8C" w:rsidRPr="00780AB1">
        <w:rPr>
          <w:rFonts w:cstheme="minorHAnsi"/>
        </w:rPr>
        <w:t>s</w:t>
      </w:r>
      <w:r w:rsidRPr="00780AB1">
        <w:rPr>
          <w:rFonts w:cstheme="minorHAnsi"/>
        </w:rPr>
        <w:t xml:space="preserve">: </w:t>
      </w:r>
      <w:r w:rsidR="00867AAA" w:rsidRPr="00780AB1">
        <w:rPr>
          <w:rFonts w:cstheme="minorHAnsi"/>
        </w:rPr>
        <w:t>clinical quality indicators</w:t>
      </w:r>
      <w:r w:rsidR="002674CE">
        <w:rPr>
          <w:rFonts w:cstheme="minorHAnsi"/>
        </w:rPr>
        <w:t xml:space="preserve"> (0-50</w:t>
      </w:r>
      <w:r w:rsidR="00295111">
        <w:rPr>
          <w:rFonts w:cstheme="minorHAnsi"/>
        </w:rPr>
        <w:t xml:space="preserve"> score</w:t>
      </w:r>
      <w:r w:rsidR="002674CE">
        <w:rPr>
          <w:rFonts w:cstheme="minorHAnsi"/>
        </w:rPr>
        <w:t>)</w:t>
      </w:r>
      <w:r w:rsidR="00867AAA" w:rsidRPr="00780AB1">
        <w:rPr>
          <w:rFonts w:cstheme="minorHAnsi"/>
        </w:rPr>
        <w:t>, quality of life survey results</w:t>
      </w:r>
      <w:r w:rsidR="002674CE">
        <w:rPr>
          <w:rFonts w:cstheme="minorHAnsi"/>
        </w:rPr>
        <w:t xml:space="preserve"> (0-40</w:t>
      </w:r>
      <w:r w:rsidR="00295111">
        <w:rPr>
          <w:rFonts w:cstheme="minorHAnsi"/>
        </w:rPr>
        <w:t xml:space="preserve"> score</w:t>
      </w:r>
      <w:r w:rsidR="002674CE">
        <w:rPr>
          <w:rFonts w:cstheme="minorHAnsi"/>
        </w:rPr>
        <w:t>)</w:t>
      </w:r>
      <w:r w:rsidR="00867AAA" w:rsidRPr="00780AB1">
        <w:rPr>
          <w:rFonts w:cstheme="minorHAnsi"/>
        </w:rPr>
        <w:t>, and regulatory findings</w:t>
      </w:r>
      <w:r w:rsidR="002674CE">
        <w:rPr>
          <w:rFonts w:cstheme="minorHAnsi"/>
        </w:rPr>
        <w:t xml:space="preserve"> (0-10</w:t>
      </w:r>
      <w:r w:rsidR="00295111">
        <w:rPr>
          <w:rFonts w:cstheme="minorHAnsi"/>
        </w:rPr>
        <w:t xml:space="preserve"> score</w:t>
      </w:r>
      <w:r w:rsidR="002674CE">
        <w:rPr>
          <w:rFonts w:cstheme="minorHAnsi"/>
        </w:rPr>
        <w:t>)</w:t>
      </w:r>
      <w:r w:rsidR="00867AAA" w:rsidRPr="00780AB1">
        <w:rPr>
          <w:rFonts w:cstheme="minorHAnsi"/>
        </w:rPr>
        <w:t xml:space="preserve">. </w:t>
      </w:r>
      <w:r w:rsidRPr="00780AB1">
        <w:rPr>
          <w:rFonts w:cstheme="minorHAnsi"/>
        </w:rPr>
        <w:t>Possible quality score</w:t>
      </w:r>
      <w:r w:rsidR="00867AAA" w:rsidRPr="00780AB1">
        <w:rPr>
          <w:rFonts w:cstheme="minorHAnsi"/>
        </w:rPr>
        <w:t>s</w:t>
      </w:r>
      <w:r w:rsidRPr="00780AB1">
        <w:rPr>
          <w:rFonts w:cstheme="minorHAnsi"/>
        </w:rPr>
        <w:t xml:space="preserve"> range from 0 – 100.</w:t>
      </w:r>
      <w:r w:rsidR="00A032DA" w:rsidRPr="00780AB1">
        <w:rPr>
          <w:rFonts w:cstheme="minorHAnsi"/>
        </w:rPr>
        <w:t xml:space="preserve">  The clinical quality indicators are calculated from resident-level Minimum Data Set (MDS) assessments performed at admission and periodically thereafter on all nursing facility residents. </w:t>
      </w:r>
      <w:r w:rsidR="00BE5232" w:rsidRPr="00780AB1">
        <w:rPr>
          <w:rFonts w:cstheme="minorHAnsi"/>
        </w:rPr>
        <w:t>The 21 quality indicators measure facility-level prevalence or incident rates for care processes, such as physical restraints or inappropriate antipsychotic use, and outcomes, such as pressure sores, weight loss, or falls with injury</w:t>
      </w:r>
      <w:r w:rsidR="00E73625" w:rsidRPr="00780AB1">
        <w:rPr>
          <w:rFonts w:cstheme="minorHAnsi"/>
        </w:rPr>
        <w:t xml:space="preserve"> </w:t>
      </w:r>
      <w:r w:rsidR="00E73625" w:rsidRPr="00780AB1">
        <w:rPr>
          <w:rFonts w:cstheme="minorHAnsi"/>
        </w:rPr>
        <w:fldChar w:fldCharType="begin"/>
      </w:r>
      <w:r w:rsidR="00E73625" w:rsidRPr="00780AB1">
        <w:rPr>
          <w:rFonts w:cstheme="minorHAnsi"/>
        </w:rPr>
        <w:instrText xml:space="preserve"> ADDIN EN.CITE &lt;EndNote&gt;&lt;Cite&gt;&lt;Author&gt;DHS&lt;/Author&gt;&lt;Year&gt;2019&lt;/Year&gt;&lt;RecNum&gt;24&lt;/RecNum&gt;&lt;DisplayText&gt;(DHS, 2019)&lt;/DisplayText&gt;&lt;record&gt;&lt;rec-number&gt;24&lt;/rec-number&gt;&lt;foreign-keys&gt;&lt;key app="EN" db-id="sa9t29sauxts0kervr1pzp9xz2fxvvwd50ws" timestamp="1558963079"&gt;24&lt;/key&gt;&lt;/foreign-keys&gt;&lt;ref-type name="Web Page"&gt;12&lt;/ref-type&gt;&lt;contributors&gt;&lt;authors&gt;&lt;author&gt;DHS&lt;/author&gt;&lt;/authors&gt;&lt;/contributors&gt;&lt;titles&gt;&lt;title&gt;Minnesota Nursing Home Report Card, Technical Guide&lt;/title&gt;&lt;/titles&gt;&lt;volume&gt;2019&lt;/volume&gt;&lt;number&gt;January 30&lt;/number&gt;&lt;dates&gt;&lt;year&gt;2019&lt;/year&gt;&lt;/dates&gt;&lt;urls&gt;&lt;related-urls&gt;&lt;url&gt;http://nhreportcard.dhs.mn.gov/technicaluserguide.pdf&lt;/url&gt;&lt;/related-urls&gt;&lt;/urls&gt;&lt;/record&gt;&lt;/Cite&gt;&lt;/EndNote&gt;</w:instrText>
      </w:r>
      <w:r w:rsidR="00E73625" w:rsidRPr="00780AB1">
        <w:rPr>
          <w:rFonts w:cstheme="minorHAnsi"/>
        </w:rPr>
        <w:fldChar w:fldCharType="separate"/>
      </w:r>
      <w:r w:rsidR="00E73625" w:rsidRPr="00780AB1">
        <w:rPr>
          <w:rFonts w:cstheme="minorHAnsi"/>
          <w:noProof/>
        </w:rPr>
        <w:t>(DHS, 2019)</w:t>
      </w:r>
      <w:r w:rsidR="00E73625" w:rsidRPr="00780AB1">
        <w:rPr>
          <w:rFonts w:cstheme="minorHAnsi"/>
        </w:rPr>
        <w:fldChar w:fldCharType="end"/>
      </w:r>
      <w:r w:rsidR="00BE5232" w:rsidRPr="00780AB1">
        <w:rPr>
          <w:rFonts w:cstheme="minorHAnsi"/>
        </w:rPr>
        <w:t>.</w:t>
      </w:r>
      <w:r w:rsidR="00A6261F" w:rsidRPr="00780AB1">
        <w:rPr>
          <w:rFonts w:cstheme="minorHAnsi"/>
        </w:rPr>
        <w:t xml:space="preserve">  </w:t>
      </w:r>
      <w:r w:rsidR="00596845" w:rsidRPr="00780AB1">
        <w:rPr>
          <w:rFonts w:cstheme="minorHAnsi"/>
        </w:rPr>
        <w:t xml:space="preserve">The quality of life component of the VBR </w:t>
      </w:r>
      <w:r w:rsidR="00780AB1" w:rsidRPr="00780AB1">
        <w:rPr>
          <w:rFonts w:cstheme="minorHAnsi"/>
        </w:rPr>
        <w:t xml:space="preserve">quality </w:t>
      </w:r>
      <w:r w:rsidR="00596845" w:rsidRPr="00780AB1">
        <w:rPr>
          <w:rFonts w:cstheme="minorHAnsi"/>
        </w:rPr>
        <w:t xml:space="preserve">score is based on an annual quality of life interview of a representative sample of residents from each </w:t>
      </w:r>
      <w:r w:rsidR="00780AB1">
        <w:rPr>
          <w:rFonts w:cstheme="minorHAnsi"/>
        </w:rPr>
        <w:t xml:space="preserve">nursing </w:t>
      </w:r>
      <w:r w:rsidR="00596845" w:rsidRPr="00780AB1">
        <w:rPr>
          <w:rFonts w:cstheme="minorHAnsi"/>
        </w:rPr>
        <w:t xml:space="preserve">facility.  The interview taps dimensions such a </w:t>
      </w:r>
      <w:r w:rsidR="00780AB1" w:rsidRPr="00780AB1">
        <w:rPr>
          <w:rFonts w:cstheme="minorHAnsi"/>
        </w:rPr>
        <w:t xml:space="preserve">meaningful activities, food enjoyment, environment, dignity, autonomy, relationships, caregiving and mood.  The regulatory component of the VBR quality score </w:t>
      </w:r>
      <w:r w:rsidR="00780AB1">
        <w:rPr>
          <w:rFonts w:cstheme="minorHAnsi"/>
        </w:rPr>
        <w:t>is derived from nursing home inspections carried out by state regulators.  Each facility receives a rating according to the scope and severity of deficiencies in care uncovered during the inspection.</w:t>
      </w:r>
    </w:p>
    <w:p w14:paraId="0D8D086D" w14:textId="77777777" w:rsidR="004356AA" w:rsidRPr="00273DA4" w:rsidRDefault="00780AB1" w:rsidP="009748ED">
      <w:pPr>
        <w:spacing w:line="360" w:lineRule="auto"/>
        <w:ind w:firstLine="720"/>
        <w:rPr>
          <w:rFonts w:eastAsia="Times New Roman" w:cstheme="minorHAnsi"/>
          <w:color w:val="000000"/>
        </w:rPr>
      </w:pPr>
      <w:r>
        <w:rPr>
          <w:rFonts w:eastAsia="Times New Roman" w:cstheme="minorHAnsi"/>
          <w:color w:val="000000"/>
        </w:rPr>
        <w:t>Other facility characteristics served as covariates.  These included a</w:t>
      </w:r>
      <w:r w:rsidR="00101DD0" w:rsidRPr="00273DA4">
        <w:rPr>
          <w:rFonts w:eastAsia="Times New Roman" w:cstheme="minorHAnsi"/>
          <w:color w:val="000000"/>
        </w:rPr>
        <w:t>ttach</w:t>
      </w:r>
      <w:r w:rsidR="009748ED">
        <w:rPr>
          <w:rFonts w:eastAsia="Times New Roman" w:cstheme="minorHAnsi"/>
          <w:color w:val="000000"/>
        </w:rPr>
        <w:t>ment</w:t>
      </w:r>
      <w:r>
        <w:rPr>
          <w:rFonts w:eastAsia="Times New Roman" w:cstheme="minorHAnsi"/>
          <w:color w:val="000000"/>
        </w:rPr>
        <w:t xml:space="preserve"> to an acute care hospital, </w:t>
      </w:r>
      <w:r w:rsidR="004356AA">
        <w:rPr>
          <w:rFonts w:eastAsia="Times New Roman" w:cstheme="minorHAnsi"/>
          <w:color w:val="000000"/>
        </w:rPr>
        <w:t>facility case-mix (clinically-based measure of resident direct care resource requirements), geographic location (Twin Cities of Minneapolis or Saint Paul, o</w:t>
      </w:r>
      <w:r w:rsidR="00101DD0" w:rsidRPr="00273DA4">
        <w:rPr>
          <w:rFonts w:eastAsia="Times New Roman" w:cstheme="minorHAnsi"/>
          <w:color w:val="000000"/>
        </w:rPr>
        <w:t>ther urban location</w:t>
      </w:r>
      <w:r w:rsidR="004356AA">
        <w:rPr>
          <w:rFonts w:eastAsia="Times New Roman" w:cstheme="minorHAnsi"/>
          <w:color w:val="000000"/>
        </w:rPr>
        <w:t>, or r</w:t>
      </w:r>
      <w:r w:rsidR="00101DD0" w:rsidRPr="00273DA4">
        <w:rPr>
          <w:rFonts w:eastAsia="Times New Roman" w:cstheme="minorHAnsi"/>
          <w:color w:val="000000"/>
        </w:rPr>
        <w:t>ural location</w:t>
      </w:r>
      <w:r w:rsidR="004356AA">
        <w:rPr>
          <w:rFonts w:eastAsia="Times New Roman" w:cstheme="minorHAnsi"/>
          <w:color w:val="000000"/>
        </w:rPr>
        <w:t>), n</w:t>
      </w:r>
      <w:r w:rsidR="00101DD0" w:rsidRPr="00273DA4">
        <w:rPr>
          <w:rFonts w:eastAsia="Times New Roman" w:cstheme="minorHAnsi"/>
          <w:color w:val="000000"/>
        </w:rPr>
        <w:t xml:space="preserve">umber of </w:t>
      </w:r>
      <w:r w:rsidR="004356AA">
        <w:rPr>
          <w:rFonts w:eastAsia="Times New Roman" w:cstheme="minorHAnsi"/>
          <w:color w:val="000000"/>
        </w:rPr>
        <w:t xml:space="preserve">nursing facility </w:t>
      </w:r>
      <w:r w:rsidR="00101DD0" w:rsidRPr="00273DA4">
        <w:rPr>
          <w:rFonts w:eastAsia="Times New Roman" w:cstheme="minorHAnsi"/>
          <w:color w:val="000000"/>
        </w:rPr>
        <w:t>beds</w:t>
      </w:r>
      <w:r w:rsidR="004356AA">
        <w:rPr>
          <w:rFonts w:eastAsia="Times New Roman" w:cstheme="minorHAnsi"/>
          <w:color w:val="000000"/>
        </w:rPr>
        <w:t xml:space="preserve">, and </w:t>
      </w:r>
      <w:r w:rsidR="004356AA" w:rsidRPr="00273DA4">
        <w:rPr>
          <w:rFonts w:eastAsia="Times New Roman" w:cstheme="minorHAnsi"/>
          <w:color w:val="000000"/>
        </w:rPr>
        <w:t>Medicaid days</w:t>
      </w:r>
      <w:r w:rsidR="004356AA">
        <w:rPr>
          <w:rFonts w:eastAsia="Times New Roman" w:cstheme="minorHAnsi"/>
          <w:color w:val="000000"/>
        </w:rPr>
        <w:t xml:space="preserve"> as a percentage of total resident days during the year.</w:t>
      </w:r>
    </w:p>
    <w:p w14:paraId="7688EA54" w14:textId="5567BC22" w:rsidR="00954F94" w:rsidRDefault="00C04563" w:rsidP="00C04563">
      <w:pPr>
        <w:spacing w:after="120" w:line="360" w:lineRule="auto"/>
        <w:ind w:firstLine="720"/>
      </w:pPr>
      <w:r>
        <w:t>Linear growth models were used to assess the relationship between the independent variables and each of the three outcomes using Proc Mixed in SAS version 9.4. The correlation within facilities arising from repeated measurement were modeled using an unstructured covariance matrix. Annual change in outcomes was measured using a linear slope for time. An indicator for years in which the VBR legislation was in effect (2016-17) allowed for a possible shift in the intercept and was of primary interest. Additionally, an indicator for ownership status of ‘</w:t>
      </w:r>
      <w:r w:rsidR="002A2F14">
        <w:t>f</w:t>
      </w:r>
      <w:r w:rsidR="00B4220C">
        <w:t>or-profit</w:t>
      </w:r>
      <w:r>
        <w:t>’ as well as its interaction with the VBR year indicator were included to assess if reaction to the legislation differed across ownership type.</w:t>
      </w:r>
    </w:p>
    <w:p w14:paraId="7D928336" w14:textId="77777777" w:rsidR="00C04563" w:rsidRDefault="00C04563" w:rsidP="00C04563">
      <w:pPr>
        <w:spacing w:after="120" w:line="360" w:lineRule="auto"/>
        <w:ind w:firstLine="720"/>
        <w:rPr>
          <w:rFonts w:cstheme="minorHAnsi"/>
        </w:rPr>
      </w:pPr>
      <w:r>
        <w:t xml:space="preserve">Additional control variables included indicators for whether or not the facility had a hospital attached, was located in the Twin Cities (Minnesota’s primary metropolitan statistical </w:t>
      </w:r>
      <w:r>
        <w:lastRenderedPageBreak/>
        <w:t>area or MSA), or was located in another MSA. Number of residents per day was included in the total care cost per day</w:t>
      </w:r>
      <w:r w:rsidR="002A2F14">
        <w:t>, total other operating cost per day,</w:t>
      </w:r>
      <w:r>
        <w:t xml:space="preserve"> and quality score models, but not the occupancy model given resident days are the numerator of that response. To control for facility size in the occupancy model, we used the number of beds split into three levels, the lowest quartile, middle 50%, and largest quartile. Annual change in occupancy was controlled for in the total care cost per day</w:t>
      </w:r>
      <w:r w:rsidR="002A2F14">
        <w:t>, total other operating cost per day,</w:t>
      </w:r>
      <w:r>
        <w:t xml:space="preserve"> and quality score models, but not the occupancy percentage model. Continuous variables for annual facility average acuity level (ranging from 0.51 – 1.61) and percentage of resident days with Medicaid as the payer were included to control for difficulty of care and resident socio-economic status. For the quality score model, the total care cost per day was </w:t>
      </w:r>
      <w:r w:rsidR="004356AA">
        <w:t xml:space="preserve">entered alone </w:t>
      </w:r>
      <w:r>
        <w:t xml:space="preserve">as well as </w:t>
      </w:r>
      <w:r w:rsidR="004356AA">
        <w:t xml:space="preserve">its </w:t>
      </w:r>
      <w:r>
        <w:t>interac</w:t>
      </w:r>
      <w:r w:rsidR="004356AA">
        <w:t xml:space="preserve">tion </w:t>
      </w:r>
      <w:r>
        <w:t>with the VBR year indicator. Significance for all regression coefficients was set at 0.05.</w:t>
      </w:r>
    </w:p>
    <w:p w14:paraId="78C0A1A1" w14:textId="77777777" w:rsidR="00CC445D" w:rsidRPr="00CC445D" w:rsidRDefault="00CC445D" w:rsidP="003203AB">
      <w:pPr>
        <w:spacing w:after="120" w:line="360" w:lineRule="auto"/>
        <w:rPr>
          <w:rFonts w:cstheme="minorHAnsi"/>
          <w:b/>
        </w:rPr>
      </w:pPr>
      <w:r w:rsidRPr="00CC445D">
        <w:rPr>
          <w:rFonts w:cstheme="minorHAnsi"/>
          <w:b/>
        </w:rPr>
        <w:t>Findings</w:t>
      </w:r>
    </w:p>
    <w:p w14:paraId="110596CD" w14:textId="77777777" w:rsidR="003203AB" w:rsidRPr="003203AB" w:rsidRDefault="003203AB" w:rsidP="007C22CB">
      <w:pPr>
        <w:spacing w:line="360" w:lineRule="auto"/>
        <w:rPr>
          <w:rFonts w:eastAsia="Times New Roman" w:cstheme="minorHAnsi"/>
          <w:i/>
          <w:iCs/>
          <w:color w:val="000000"/>
        </w:rPr>
      </w:pPr>
      <w:r w:rsidRPr="003203AB">
        <w:rPr>
          <w:rFonts w:eastAsia="Times New Roman" w:cstheme="minorHAnsi"/>
          <w:i/>
          <w:iCs/>
          <w:color w:val="000000"/>
        </w:rPr>
        <w:t>Trends in Outcomes and Other Variables</w:t>
      </w:r>
    </w:p>
    <w:p w14:paraId="1E76ECF3" w14:textId="07A93C65" w:rsidR="00044463" w:rsidRDefault="007C22CB" w:rsidP="003203AB">
      <w:pPr>
        <w:spacing w:after="120" w:line="360" w:lineRule="auto"/>
        <w:ind w:firstLine="720"/>
        <w:rPr>
          <w:rFonts w:eastAsia="Times New Roman" w:cstheme="minorHAnsi"/>
          <w:color w:val="000000"/>
        </w:rPr>
      </w:pPr>
      <w:r>
        <w:rPr>
          <w:rFonts w:eastAsia="Times New Roman" w:cstheme="minorHAnsi"/>
          <w:color w:val="000000"/>
        </w:rPr>
        <w:t>The</w:t>
      </w:r>
      <w:r w:rsidRPr="007C22CB">
        <w:rPr>
          <w:rFonts w:eastAsia="Times New Roman" w:cstheme="minorHAnsi"/>
          <w:color w:val="000000"/>
        </w:rPr>
        <w:t xml:space="preserve"> </w:t>
      </w:r>
      <w:r>
        <w:rPr>
          <w:rFonts w:eastAsia="Times New Roman" w:cstheme="minorHAnsi"/>
          <w:color w:val="000000"/>
        </w:rPr>
        <w:t xml:space="preserve">majority of facilities (61%) were non-profit; 29% were </w:t>
      </w:r>
      <w:r w:rsidR="00B4220C">
        <w:rPr>
          <w:rFonts w:eastAsia="Times New Roman" w:cstheme="minorHAnsi"/>
          <w:color w:val="000000"/>
        </w:rPr>
        <w:t>For-profit</w:t>
      </w:r>
      <w:r>
        <w:rPr>
          <w:rFonts w:eastAsia="Times New Roman" w:cstheme="minorHAnsi"/>
          <w:color w:val="000000"/>
        </w:rPr>
        <w:t xml:space="preserve">, and 10% governmental (Table 1). </w:t>
      </w:r>
      <w:r w:rsidR="00C42A3F">
        <w:rPr>
          <w:rFonts w:eastAsia="Times New Roman" w:cstheme="minorHAnsi"/>
          <w:color w:val="000000"/>
        </w:rPr>
        <w:t xml:space="preserve"> Ownership types changed very little from 2013 to 2017. Mean facility occupancy rates showed a steady decline from 88.8% in 2013 to 84.5% in 2017.  The mean number of available beds and residents per day showed similar declines.  The mean facility total reported costs</w:t>
      </w:r>
      <w:r w:rsidR="002A2F14">
        <w:rPr>
          <w:rFonts w:eastAsia="Times New Roman" w:cstheme="minorHAnsi"/>
          <w:color w:val="000000"/>
        </w:rPr>
        <w:t xml:space="preserve">, </w:t>
      </w:r>
      <w:r w:rsidR="00C42A3F">
        <w:rPr>
          <w:rFonts w:eastAsia="Times New Roman" w:cstheme="minorHAnsi"/>
          <w:color w:val="000000"/>
        </w:rPr>
        <w:t>care related cost per resident day</w:t>
      </w:r>
      <w:r w:rsidR="002A2F14">
        <w:rPr>
          <w:rFonts w:eastAsia="Times New Roman" w:cstheme="minorHAnsi"/>
          <w:color w:val="000000"/>
        </w:rPr>
        <w:t>, and other operating costs per resident day</w:t>
      </w:r>
      <w:r w:rsidR="00C42A3F">
        <w:rPr>
          <w:rFonts w:eastAsia="Times New Roman" w:cstheme="minorHAnsi"/>
          <w:color w:val="000000"/>
        </w:rPr>
        <w:t xml:space="preserve"> increased each year.  As we expected, the largest increases occurred between 2015 and 2016 when the new VBR system was implemented.  </w:t>
      </w:r>
      <w:r w:rsidR="006C2116">
        <w:rPr>
          <w:rFonts w:eastAsia="Times New Roman" w:cstheme="minorHAnsi"/>
          <w:color w:val="000000"/>
        </w:rPr>
        <w:t xml:space="preserve">Costs continued to rise in 2017.  </w:t>
      </w:r>
      <w:r w:rsidR="00970C9A">
        <w:rPr>
          <w:rFonts w:eastAsia="Times New Roman" w:cstheme="minorHAnsi"/>
          <w:color w:val="000000"/>
        </w:rPr>
        <w:t xml:space="preserve">Mean total costs PRD jumped from $180 in 2015 to $199 in 2016 </w:t>
      </w:r>
      <w:r w:rsidR="006C2116">
        <w:rPr>
          <w:rFonts w:eastAsia="Times New Roman" w:cstheme="minorHAnsi"/>
          <w:color w:val="000000"/>
        </w:rPr>
        <w:t>and $210 in 2017.  M</w:t>
      </w:r>
      <w:r w:rsidR="00970C9A">
        <w:rPr>
          <w:rFonts w:eastAsia="Times New Roman" w:cstheme="minorHAnsi"/>
          <w:color w:val="000000"/>
        </w:rPr>
        <w:t xml:space="preserve">ean care-related costs jumped from $115 </w:t>
      </w:r>
      <w:r w:rsidR="006C2116">
        <w:rPr>
          <w:rFonts w:eastAsia="Times New Roman" w:cstheme="minorHAnsi"/>
          <w:color w:val="000000"/>
        </w:rPr>
        <w:t xml:space="preserve">in 2015 </w:t>
      </w:r>
      <w:r w:rsidR="00970C9A">
        <w:rPr>
          <w:rFonts w:eastAsia="Times New Roman" w:cstheme="minorHAnsi"/>
          <w:color w:val="000000"/>
        </w:rPr>
        <w:t>to $128</w:t>
      </w:r>
      <w:r w:rsidR="006C2116">
        <w:rPr>
          <w:rFonts w:eastAsia="Times New Roman" w:cstheme="minorHAnsi"/>
          <w:color w:val="000000"/>
        </w:rPr>
        <w:t xml:space="preserve"> in 2016 and $136 in 2017</w:t>
      </w:r>
      <w:r w:rsidR="00970C9A">
        <w:rPr>
          <w:rFonts w:eastAsia="Times New Roman" w:cstheme="minorHAnsi"/>
          <w:color w:val="000000"/>
        </w:rPr>
        <w:t xml:space="preserve">.  </w:t>
      </w:r>
      <w:r w:rsidR="006C2116">
        <w:rPr>
          <w:rFonts w:eastAsia="Times New Roman" w:cstheme="minorHAnsi"/>
          <w:color w:val="000000"/>
        </w:rPr>
        <w:t xml:space="preserve">Interestingly, </w:t>
      </w:r>
      <w:r w:rsidR="00744640">
        <w:rPr>
          <w:rFonts w:eastAsia="Times New Roman" w:cstheme="minorHAnsi"/>
          <w:color w:val="000000"/>
        </w:rPr>
        <w:t>facilities increased expenditures in both care-related and other operating areas.  O</w:t>
      </w:r>
      <w:r w:rsidR="00157503">
        <w:rPr>
          <w:rFonts w:eastAsia="Times New Roman" w:cstheme="minorHAnsi"/>
          <w:color w:val="000000"/>
        </w:rPr>
        <w:t xml:space="preserve">ther operating costs jumped from </w:t>
      </w:r>
      <w:r w:rsidR="00744640">
        <w:rPr>
          <w:rFonts w:eastAsia="Times New Roman" w:cstheme="minorHAnsi"/>
          <w:color w:val="000000"/>
        </w:rPr>
        <w:t xml:space="preserve">$65.33 in 2015 to $70.26 in 2016 and $74.00 in 2017.  As a result, </w:t>
      </w:r>
      <w:r w:rsidR="006C2116">
        <w:rPr>
          <w:rFonts w:eastAsia="Times New Roman" w:cstheme="minorHAnsi"/>
          <w:color w:val="000000"/>
        </w:rPr>
        <w:t>care-related costs as a percentage of total costs changed very little from 2013 (64.45) to 2017 (64.95)</w:t>
      </w:r>
      <w:r w:rsidR="00744640">
        <w:rPr>
          <w:rFonts w:eastAsia="Times New Roman" w:cstheme="minorHAnsi"/>
          <w:color w:val="000000"/>
        </w:rPr>
        <w:t>.</w:t>
      </w:r>
      <w:r w:rsidR="006C2116">
        <w:rPr>
          <w:rFonts w:eastAsia="Times New Roman" w:cstheme="minorHAnsi"/>
          <w:color w:val="000000"/>
        </w:rPr>
        <w:t xml:space="preserve">  The mean facility VBR quality score increased only slightly over the five-year period from 75.3 in 2013 to 77.4 in 2017.  There was no appreciable jump </w:t>
      </w:r>
      <w:r w:rsidR="00502993">
        <w:rPr>
          <w:rFonts w:eastAsia="Times New Roman" w:cstheme="minorHAnsi"/>
          <w:color w:val="000000"/>
        </w:rPr>
        <w:t xml:space="preserve">between </w:t>
      </w:r>
      <w:r w:rsidR="006C2116">
        <w:rPr>
          <w:rFonts w:eastAsia="Times New Roman" w:cstheme="minorHAnsi"/>
          <w:color w:val="000000"/>
        </w:rPr>
        <w:t xml:space="preserve">2015 </w:t>
      </w:r>
      <w:r w:rsidR="00502993">
        <w:rPr>
          <w:rFonts w:eastAsia="Times New Roman" w:cstheme="minorHAnsi"/>
          <w:color w:val="000000"/>
        </w:rPr>
        <w:t xml:space="preserve">and </w:t>
      </w:r>
      <w:r w:rsidR="006C2116">
        <w:rPr>
          <w:rFonts w:eastAsia="Times New Roman" w:cstheme="minorHAnsi"/>
          <w:color w:val="000000"/>
        </w:rPr>
        <w:t>2016.</w:t>
      </w:r>
    </w:p>
    <w:p w14:paraId="5C40E768" w14:textId="77777777" w:rsidR="00CE52EC" w:rsidRDefault="00CE52EC">
      <w:pPr>
        <w:rPr>
          <w:rFonts w:eastAsia="Times New Roman" w:cstheme="minorHAnsi"/>
          <w:i/>
          <w:iCs/>
          <w:color w:val="000000"/>
        </w:rPr>
      </w:pPr>
      <w:r>
        <w:rPr>
          <w:rFonts w:eastAsia="Times New Roman" w:cstheme="minorHAnsi"/>
          <w:i/>
          <w:iCs/>
          <w:color w:val="000000"/>
        </w:rPr>
        <w:br w:type="page"/>
      </w:r>
    </w:p>
    <w:p w14:paraId="536CDBC6" w14:textId="1D1C2840" w:rsidR="003203AB" w:rsidRPr="003203AB" w:rsidRDefault="003203AB" w:rsidP="007C22CB">
      <w:pPr>
        <w:spacing w:line="360" w:lineRule="auto"/>
        <w:rPr>
          <w:rFonts w:eastAsia="Times New Roman" w:cstheme="minorHAnsi"/>
          <w:i/>
          <w:iCs/>
          <w:color w:val="000000"/>
        </w:rPr>
      </w:pPr>
      <w:r w:rsidRPr="003203AB">
        <w:rPr>
          <w:rFonts w:eastAsia="Times New Roman" w:cstheme="minorHAnsi"/>
          <w:i/>
          <w:iCs/>
          <w:color w:val="000000"/>
        </w:rPr>
        <w:lastRenderedPageBreak/>
        <w:t>Outcome Trends by Ownership Type</w:t>
      </w:r>
    </w:p>
    <w:p w14:paraId="12382F4C" w14:textId="77777777" w:rsidR="00D42EE4" w:rsidRDefault="005B3E07" w:rsidP="003203AB">
      <w:pPr>
        <w:spacing w:line="360" w:lineRule="auto"/>
        <w:ind w:firstLine="720"/>
        <w:rPr>
          <w:rFonts w:eastAsia="Times New Roman" w:cstheme="minorHAnsi"/>
          <w:color w:val="000000"/>
        </w:rPr>
      </w:pPr>
      <w:r>
        <w:rPr>
          <w:rFonts w:eastAsia="Times New Roman" w:cstheme="minorHAnsi"/>
          <w:color w:val="000000"/>
        </w:rPr>
        <w:t>Figures 1-</w:t>
      </w:r>
      <w:r w:rsidR="00744640">
        <w:rPr>
          <w:rFonts w:eastAsia="Times New Roman" w:cstheme="minorHAnsi"/>
          <w:color w:val="000000"/>
        </w:rPr>
        <w:t>3</w:t>
      </w:r>
      <w:r>
        <w:rPr>
          <w:rFonts w:eastAsia="Times New Roman" w:cstheme="minorHAnsi"/>
          <w:color w:val="000000"/>
        </w:rPr>
        <w:t xml:space="preserve"> show mean facility costs </w:t>
      </w:r>
      <w:r w:rsidR="00F3124F">
        <w:rPr>
          <w:rFonts w:eastAsia="Times New Roman" w:cstheme="minorHAnsi"/>
          <w:color w:val="000000"/>
        </w:rPr>
        <w:t xml:space="preserve">in </w:t>
      </w:r>
      <w:r>
        <w:rPr>
          <w:rFonts w:eastAsia="Times New Roman" w:cstheme="minorHAnsi"/>
          <w:color w:val="000000"/>
        </w:rPr>
        <w:t>2013</w:t>
      </w:r>
      <w:r w:rsidR="00F3124F">
        <w:rPr>
          <w:rFonts w:eastAsia="Times New Roman" w:cstheme="minorHAnsi"/>
          <w:color w:val="000000"/>
        </w:rPr>
        <w:t>-</w:t>
      </w:r>
      <w:r>
        <w:rPr>
          <w:rFonts w:eastAsia="Times New Roman" w:cstheme="minorHAnsi"/>
          <w:color w:val="000000"/>
        </w:rPr>
        <w:t xml:space="preserve">2017 by ownership type.  </w:t>
      </w:r>
      <w:r w:rsidR="00B4220C">
        <w:rPr>
          <w:rFonts w:eastAsia="Times New Roman" w:cstheme="minorHAnsi"/>
          <w:color w:val="000000"/>
        </w:rPr>
        <w:t>For-profit</w:t>
      </w:r>
      <w:r>
        <w:rPr>
          <w:rFonts w:eastAsia="Times New Roman" w:cstheme="minorHAnsi"/>
          <w:color w:val="000000"/>
        </w:rPr>
        <w:t xml:space="preserve"> facilities had significantly lower mean care-related</w:t>
      </w:r>
      <w:r w:rsidR="00744640">
        <w:rPr>
          <w:rFonts w:eastAsia="Times New Roman" w:cstheme="minorHAnsi"/>
          <w:color w:val="000000"/>
        </w:rPr>
        <w:t>, other operating, and total costs</w:t>
      </w:r>
      <w:r>
        <w:rPr>
          <w:rFonts w:eastAsia="Times New Roman" w:cstheme="minorHAnsi"/>
          <w:color w:val="000000"/>
        </w:rPr>
        <w:t xml:space="preserve"> PRD in each of the five years.  Nonetheless, all three ownership types </w:t>
      </w:r>
      <w:r w:rsidR="00B40939">
        <w:rPr>
          <w:rFonts w:eastAsia="Times New Roman" w:cstheme="minorHAnsi"/>
          <w:color w:val="000000"/>
        </w:rPr>
        <w:t xml:space="preserve">followed the pattern of a significant increase </w:t>
      </w:r>
      <w:r w:rsidR="00B40939" w:rsidRPr="00744640">
        <w:rPr>
          <w:rFonts w:eastAsia="Times New Roman" w:cstheme="minorHAnsi"/>
          <w:color w:val="000000"/>
        </w:rPr>
        <w:t xml:space="preserve">in </w:t>
      </w:r>
      <w:r w:rsidR="00744640">
        <w:rPr>
          <w:rFonts w:eastAsia="Times New Roman" w:cstheme="minorHAnsi"/>
          <w:color w:val="000000"/>
        </w:rPr>
        <w:t xml:space="preserve">each of </w:t>
      </w:r>
      <w:r w:rsidR="00744640" w:rsidRPr="00744640">
        <w:rPr>
          <w:rFonts w:eastAsia="Times New Roman" w:cstheme="minorHAnsi"/>
          <w:color w:val="000000"/>
        </w:rPr>
        <w:t xml:space="preserve">these </w:t>
      </w:r>
      <w:r w:rsidR="00B40939" w:rsidRPr="00744640">
        <w:rPr>
          <w:rFonts w:eastAsia="Times New Roman" w:cstheme="minorHAnsi"/>
          <w:color w:val="000000"/>
        </w:rPr>
        <w:t xml:space="preserve">cost </w:t>
      </w:r>
      <w:r w:rsidR="00744640" w:rsidRPr="00744640">
        <w:rPr>
          <w:rFonts w:eastAsia="Times New Roman" w:cstheme="minorHAnsi"/>
          <w:color w:val="000000"/>
        </w:rPr>
        <w:t>areas</w:t>
      </w:r>
      <w:r w:rsidR="00744640">
        <w:rPr>
          <w:rFonts w:eastAsia="Times New Roman" w:cstheme="minorHAnsi"/>
          <w:color w:val="000000"/>
        </w:rPr>
        <w:t xml:space="preserve"> </w:t>
      </w:r>
      <w:r w:rsidR="00B40939">
        <w:rPr>
          <w:rFonts w:eastAsia="Times New Roman" w:cstheme="minorHAnsi"/>
          <w:color w:val="000000"/>
        </w:rPr>
        <w:t xml:space="preserve">between 2015 and 2016, followed by another significant increase in 2017.  Compared to </w:t>
      </w:r>
      <w:r w:rsidR="00B4220C">
        <w:rPr>
          <w:rFonts w:eastAsia="Times New Roman" w:cstheme="minorHAnsi"/>
          <w:color w:val="000000"/>
        </w:rPr>
        <w:t>Non-profit</w:t>
      </w:r>
      <w:r w:rsidR="00B40939">
        <w:rPr>
          <w:rFonts w:eastAsia="Times New Roman" w:cstheme="minorHAnsi"/>
          <w:color w:val="000000"/>
        </w:rPr>
        <w:t xml:space="preserve"> and governmental facilities, </w:t>
      </w:r>
      <w:r w:rsidR="00B4220C">
        <w:rPr>
          <w:rFonts w:eastAsia="Times New Roman" w:cstheme="minorHAnsi"/>
          <w:color w:val="000000"/>
        </w:rPr>
        <w:t>For-profit</w:t>
      </w:r>
      <w:r w:rsidR="00B40939">
        <w:rPr>
          <w:rFonts w:eastAsia="Times New Roman" w:cstheme="minorHAnsi"/>
          <w:color w:val="000000"/>
        </w:rPr>
        <w:t xml:space="preserve"> facilities had a significantly lower percentage of their costs in care-related areas in all 5 years (Figure </w:t>
      </w:r>
      <w:r w:rsidR="00744640">
        <w:rPr>
          <w:rFonts w:eastAsia="Times New Roman" w:cstheme="minorHAnsi"/>
          <w:color w:val="000000"/>
        </w:rPr>
        <w:t>4</w:t>
      </w:r>
      <w:r w:rsidR="00B40939">
        <w:rPr>
          <w:rFonts w:eastAsia="Times New Roman" w:cstheme="minorHAnsi"/>
          <w:color w:val="000000"/>
        </w:rPr>
        <w:t>).</w:t>
      </w:r>
      <w:r w:rsidR="009B456D">
        <w:rPr>
          <w:rFonts w:eastAsia="Times New Roman" w:cstheme="minorHAnsi"/>
          <w:color w:val="000000"/>
        </w:rPr>
        <w:t xml:space="preserve">  None of the ownership types had significant increases in percentage of care-related costs over the 5-year period or between 2015 and 2016.</w:t>
      </w:r>
    </w:p>
    <w:p w14:paraId="107B2D76" w14:textId="77777777" w:rsidR="000F06BE" w:rsidRPr="00B40939" w:rsidRDefault="003374F3" w:rsidP="00E0184C">
      <w:pPr>
        <w:spacing w:line="360" w:lineRule="auto"/>
        <w:ind w:firstLine="720"/>
        <w:rPr>
          <w:rFonts w:eastAsia="Times New Roman" w:cstheme="minorHAnsi"/>
          <w:b/>
          <w:bCs/>
          <w:color w:val="000000"/>
        </w:rPr>
      </w:pPr>
      <w:r>
        <w:rPr>
          <w:rFonts w:eastAsia="Times New Roman" w:cstheme="minorHAnsi"/>
          <w:color w:val="000000"/>
        </w:rPr>
        <w:t xml:space="preserve">Non-profit facilities had significantly higher mean occupancy rates compared to </w:t>
      </w:r>
      <w:r w:rsidR="00B4220C">
        <w:rPr>
          <w:rFonts w:eastAsia="Times New Roman" w:cstheme="minorHAnsi"/>
          <w:color w:val="000000"/>
        </w:rPr>
        <w:t>For-profit</w:t>
      </w:r>
      <w:r>
        <w:rPr>
          <w:rFonts w:eastAsia="Times New Roman" w:cstheme="minorHAnsi"/>
          <w:color w:val="000000"/>
        </w:rPr>
        <w:t xml:space="preserve"> and governmental facilities in all 5 years</w:t>
      </w:r>
      <w:r w:rsidR="00555DE6">
        <w:rPr>
          <w:rFonts w:eastAsia="Times New Roman" w:cstheme="minorHAnsi"/>
          <w:color w:val="000000"/>
        </w:rPr>
        <w:t xml:space="preserve"> (Figure </w:t>
      </w:r>
      <w:r w:rsidR="00F3124F">
        <w:rPr>
          <w:rFonts w:eastAsia="Times New Roman" w:cstheme="minorHAnsi"/>
          <w:color w:val="000000"/>
        </w:rPr>
        <w:t>5</w:t>
      </w:r>
      <w:r w:rsidR="00555DE6">
        <w:rPr>
          <w:rFonts w:eastAsia="Times New Roman" w:cstheme="minorHAnsi"/>
          <w:color w:val="000000"/>
        </w:rPr>
        <w:t>)</w:t>
      </w:r>
      <w:r>
        <w:rPr>
          <w:rFonts w:eastAsia="Times New Roman" w:cstheme="minorHAnsi"/>
          <w:color w:val="000000"/>
        </w:rPr>
        <w:t xml:space="preserve">.  </w:t>
      </w:r>
      <w:r w:rsidR="00B4220C">
        <w:rPr>
          <w:rFonts w:eastAsia="Times New Roman" w:cstheme="minorHAnsi"/>
          <w:color w:val="000000"/>
        </w:rPr>
        <w:t>For-profit</w:t>
      </w:r>
      <w:r>
        <w:rPr>
          <w:rFonts w:eastAsia="Times New Roman" w:cstheme="minorHAnsi"/>
          <w:color w:val="000000"/>
        </w:rPr>
        <w:t xml:space="preserve"> facilities experienced a significant downward trend in occupancy percentage from 2015-2017</w:t>
      </w:r>
      <w:r w:rsidR="00555DE6">
        <w:rPr>
          <w:rFonts w:eastAsia="Times New Roman" w:cstheme="minorHAnsi"/>
          <w:color w:val="000000"/>
        </w:rPr>
        <w:t xml:space="preserve">; while </w:t>
      </w:r>
      <w:r w:rsidR="00B4220C">
        <w:rPr>
          <w:rFonts w:eastAsia="Times New Roman" w:cstheme="minorHAnsi"/>
          <w:color w:val="000000"/>
        </w:rPr>
        <w:t>Non-profit</w:t>
      </w:r>
      <w:r w:rsidR="00555DE6">
        <w:rPr>
          <w:rFonts w:eastAsia="Times New Roman" w:cstheme="minorHAnsi"/>
          <w:color w:val="000000"/>
        </w:rPr>
        <w:t xml:space="preserve"> and governmental facilities remained at approximately the same levels.  These figures indicate that the pattern of overall occupancy rate decline in Table 1, were driven largely by declines among </w:t>
      </w:r>
      <w:r w:rsidR="00B4220C">
        <w:rPr>
          <w:rFonts w:eastAsia="Times New Roman" w:cstheme="minorHAnsi"/>
          <w:color w:val="000000"/>
        </w:rPr>
        <w:t>For-profit</w:t>
      </w:r>
      <w:r w:rsidR="00555DE6">
        <w:rPr>
          <w:rFonts w:eastAsia="Times New Roman" w:cstheme="minorHAnsi"/>
          <w:color w:val="000000"/>
        </w:rPr>
        <w:t xml:space="preserve"> facilities.</w:t>
      </w:r>
    </w:p>
    <w:p w14:paraId="608BB9D8" w14:textId="5195A0F8" w:rsidR="007C22CB" w:rsidRDefault="00B43A52" w:rsidP="003203AB">
      <w:pPr>
        <w:spacing w:after="120" w:line="360" w:lineRule="auto"/>
        <w:ind w:firstLine="720"/>
        <w:textAlignment w:val="baseline"/>
        <w:rPr>
          <w:rFonts w:eastAsia="Times New Roman" w:cstheme="minorHAnsi"/>
          <w:color w:val="000000"/>
        </w:rPr>
      </w:pPr>
      <w:r w:rsidRPr="00E0184C">
        <w:rPr>
          <w:rFonts w:eastAsia="Times New Roman" w:cstheme="minorHAnsi"/>
          <w:color w:val="000000"/>
        </w:rPr>
        <w:t xml:space="preserve">As we expected, </w:t>
      </w:r>
      <w:r w:rsidR="00B4220C">
        <w:rPr>
          <w:rFonts w:eastAsia="Times New Roman" w:cstheme="minorHAnsi"/>
          <w:color w:val="000000"/>
        </w:rPr>
        <w:t>For-profit</w:t>
      </w:r>
      <w:r w:rsidRPr="00E0184C">
        <w:rPr>
          <w:rFonts w:eastAsia="Times New Roman" w:cstheme="minorHAnsi"/>
          <w:color w:val="000000"/>
        </w:rPr>
        <w:t xml:space="preserve"> facilities had significantly lower mean VBR quality scores than non</w:t>
      </w:r>
      <w:r w:rsidR="003724ED">
        <w:rPr>
          <w:rFonts w:eastAsia="Times New Roman" w:cstheme="minorHAnsi"/>
          <w:color w:val="000000"/>
        </w:rPr>
        <w:t>-</w:t>
      </w:r>
      <w:r w:rsidRPr="00E0184C">
        <w:rPr>
          <w:rFonts w:eastAsia="Times New Roman" w:cstheme="minorHAnsi"/>
          <w:color w:val="000000"/>
        </w:rPr>
        <w:t>profit and governmental facilities</w:t>
      </w:r>
      <w:r w:rsidR="000213AE" w:rsidRPr="00E0184C">
        <w:rPr>
          <w:rFonts w:eastAsia="Times New Roman" w:cstheme="minorHAnsi"/>
          <w:color w:val="000000"/>
        </w:rPr>
        <w:t xml:space="preserve"> (Figure </w:t>
      </w:r>
      <w:r w:rsidR="00F3124F">
        <w:rPr>
          <w:rFonts w:eastAsia="Times New Roman" w:cstheme="minorHAnsi"/>
          <w:color w:val="000000"/>
        </w:rPr>
        <w:t>6</w:t>
      </w:r>
      <w:r w:rsidR="000213AE" w:rsidRPr="00E0184C">
        <w:rPr>
          <w:rFonts w:eastAsia="Times New Roman" w:cstheme="minorHAnsi"/>
          <w:color w:val="000000"/>
        </w:rPr>
        <w:t>)</w:t>
      </w:r>
      <w:r w:rsidRPr="00E0184C">
        <w:rPr>
          <w:rFonts w:eastAsia="Times New Roman" w:cstheme="minorHAnsi"/>
          <w:color w:val="000000"/>
        </w:rPr>
        <w:t xml:space="preserve">.  The gap </w:t>
      </w:r>
      <w:r w:rsidR="000213AE" w:rsidRPr="00E0184C">
        <w:rPr>
          <w:rFonts w:eastAsia="Times New Roman" w:cstheme="minorHAnsi"/>
          <w:color w:val="000000"/>
        </w:rPr>
        <w:t xml:space="preserve">in quality score </w:t>
      </w:r>
      <w:r w:rsidRPr="00E0184C">
        <w:rPr>
          <w:rFonts w:eastAsia="Times New Roman" w:cstheme="minorHAnsi"/>
          <w:color w:val="000000"/>
        </w:rPr>
        <w:t xml:space="preserve">between ownership types widened from 2013 </w:t>
      </w:r>
      <w:r w:rsidR="000213AE" w:rsidRPr="00E0184C">
        <w:rPr>
          <w:rFonts w:eastAsia="Times New Roman" w:cstheme="minorHAnsi"/>
          <w:color w:val="000000"/>
        </w:rPr>
        <w:t>to 201</w:t>
      </w:r>
      <w:r w:rsidR="008705E0">
        <w:rPr>
          <w:rFonts w:eastAsia="Times New Roman" w:cstheme="minorHAnsi"/>
          <w:color w:val="000000"/>
        </w:rPr>
        <w:t>7</w:t>
      </w:r>
      <w:r w:rsidR="000213AE" w:rsidRPr="00E0184C">
        <w:rPr>
          <w:rFonts w:eastAsia="Times New Roman" w:cstheme="minorHAnsi"/>
          <w:color w:val="000000"/>
        </w:rPr>
        <w:t xml:space="preserve">.  Whereas the mean VBR quality scores for </w:t>
      </w:r>
      <w:r w:rsidR="00B4220C">
        <w:rPr>
          <w:rFonts w:eastAsia="Times New Roman" w:cstheme="minorHAnsi"/>
          <w:color w:val="000000"/>
        </w:rPr>
        <w:t>Non-profit</w:t>
      </w:r>
      <w:r w:rsidR="000213AE" w:rsidRPr="00E0184C">
        <w:rPr>
          <w:rFonts w:eastAsia="Times New Roman" w:cstheme="minorHAnsi"/>
          <w:color w:val="000000"/>
        </w:rPr>
        <w:t xml:space="preserve"> and governmental facilities trended upward over the 5 year period, the scores of </w:t>
      </w:r>
      <w:r w:rsidR="00B4220C">
        <w:rPr>
          <w:rFonts w:eastAsia="Times New Roman" w:cstheme="minorHAnsi"/>
          <w:color w:val="000000"/>
        </w:rPr>
        <w:t>For-profit</w:t>
      </w:r>
      <w:r w:rsidR="000213AE" w:rsidRPr="00E0184C">
        <w:rPr>
          <w:rFonts w:eastAsia="Times New Roman" w:cstheme="minorHAnsi"/>
          <w:color w:val="000000"/>
        </w:rPr>
        <w:t xml:space="preserve"> facilities </w:t>
      </w:r>
      <w:r w:rsidR="00E0184C" w:rsidRPr="00E0184C">
        <w:rPr>
          <w:rFonts w:eastAsia="Times New Roman" w:cstheme="minorHAnsi"/>
          <w:color w:val="000000"/>
        </w:rPr>
        <w:t>remained relatively flat.</w:t>
      </w:r>
    </w:p>
    <w:p w14:paraId="6B65733A" w14:textId="77777777" w:rsidR="00782B4E" w:rsidRPr="003203AB" w:rsidRDefault="003203AB" w:rsidP="003203AB">
      <w:pPr>
        <w:spacing w:after="120" w:line="360" w:lineRule="auto"/>
        <w:textAlignment w:val="baseline"/>
        <w:rPr>
          <w:rFonts w:eastAsia="Times New Roman" w:cstheme="minorHAnsi"/>
          <w:i/>
          <w:iCs/>
          <w:color w:val="000000"/>
        </w:rPr>
      </w:pPr>
      <w:r w:rsidRPr="003203AB">
        <w:rPr>
          <w:rFonts w:eastAsia="Times New Roman" w:cstheme="minorHAnsi"/>
          <w:i/>
          <w:iCs/>
          <w:color w:val="000000"/>
        </w:rPr>
        <w:t>Growth Models</w:t>
      </w:r>
    </w:p>
    <w:p w14:paraId="2E025728" w14:textId="77777777" w:rsidR="00BF3A18" w:rsidRDefault="00BF3A18" w:rsidP="00686ECC">
      <w:pPr>
        <w:spacing w:line="360" w:lineRule="auto"/>
        <w:ind w:firstLine="720"/>
        <w:rPr>
          <w:rFonts w:eastAsiaTheme="minorEastAsia"/>
        </w:rPr>
      </w:pPr>
      <w:r>
        <w:rPr>
          <w:rFonts w:eastAsiaTheme="minorEastAsia"/>
          <w:bCs/>
        </w:rPr>
        <w:t xml:space="preserve">We developed </w:t>
      </w:r>
      <w:r w:rsidR="00686ECC">
        <w:rPr>
          <w:rFonts w:eastAsiaTheme="minorEastAsia"/>
          <w:bCs/>
        </w:rPr>
        <w:t>g</w:t>
      </w:r>
      <w:r>
        <w:rPr>
          <w:rFonts w:eastAsiaTheme="minorEastAsia"/>
          <w:bCs/>
        </w:rPr>
        <w:t xml:space="preserve">rowth models </w:t>
      </w:r>
      <w:r w:rsidR="00686ECC">
        <w:rPr>
          <w:rFonts w:eastAsiaTheme="minorEastAsia"/>
          <w:bCs/>
        </w:rPr>
        <w:t xml:space="preserve">to </w:t>
      </w:r>
      <w:r>
        <w:rPr>
          <w:rFonts w:eastAsiaTheme="minorEastAsia"/>
          <w:bCs/>
        </w:rPr>
        <w:t xml:space="preserve">test for relationships between </w:t>
      </w:r>
      <w:r w:rsidR="00686ECC">
        <w:rPr>
          <w:rFonts w:eastAsiaTheme="minorEastAsia"/>
          <w:bCs/>
        </w:rPr>
        <w:t xml:space="preserve">VBR implementation, </w:t>
      </w:r>
      <w:r>
        <w:rPr>
          <w:rFonts w:eastAsiaTheme="minorEastAsia"/>
          <w:bCs/>
        </w:rPr>
        <w:t>ownership type</w:t>
      </w:r>
      <w:r w:rsidR="00686ECC">
        <w:rPr>
          <w:rFonts w:eastAsiaTheme="minorEastAsia"/>
          <w:bCs/>
        </w:rPr>
        <w:t xml:space="preserve">, </w:t>
      </w:r>
      <w:r>
        <w:rPr>
          <w:rFonts w:eastAsiaTheme="minorEastAsia"/>
          <w:bCs/>
        </w:rPr>
        <w:t xml:space="preserve">and outcomes </w:t>
      </w:r>
      <w:r w:rsidR="00686ECC">
        <w:rPr>
          <w:rFonts w:eastAsiaTheme="minorEastAsia"/>
          <w:bCs/>
        </w:rPr>
        <w:t xml:space="preserve">over a 5 year period </w:t>
      </w:r>
      <w:r>
        <w:rPr>
          <w:rFonts w:eastAsiaTheme="minorEastAsia"/>
          <w:bCs/>
        </w:rPr>
        <w:t xml:space="preserve">while controlling </w:t>
      </w:r>
      <w:r w:rsidR="00686ECC">
        <w:rPr>
          <w:rFonts w:eastAsiaTheme="minorEastAsia"/>
          <w:bCs/>
        </w:rPr>
        <w:t xml:space="preserve">statistically </w:t>
      </w:r>
      <w:r>
        <w:rPr>
          <w:rFonts w:eastAsiaTheme="minorEastAsia"/>
          <w:bCs/>
        </w:rPr>
        <w:t xml:space="preserve">for </w:t>
      </w:r>
      <w:r w:rsidR="00686ECC">
        <w:rPr>
          <w:rFonts w:eastAsiaTheme="minorEastAsia"/>
          <w:bCs/>
        </w:rPr>
        <w:t xml:space="preserve">relevant </w:t>
      </w:r>
      <w:r>
        <w:rPr>
          <w:rFonts w:eastAsiaTheme="minorEastAsia"/>
          <w:bCs/>
        </w:rPr>
        <w:t xml:space="preserve">covariates. </w:t>
      </w:r>
      <w:r w:rsidR="00686ECC">
        <w:rPr>
          <w:rFonts w:eastAsiaTheme="minorEastAsia"/>
          <w:bCs/>
        </w:rPr>
        <w:t xml:space="preserve"> We begin with </w:t>
      </w:r>
      <w:r w:rsidR="007016F7">
        <w:rPr>
          <w:rFonts w:eastAsiaTheme="minorEastAsia"/>
          <w:bCs/>
        </w:rPr>
        <w:t xml:space="preserve">the model for </w:t>
      </w:r>
      <w:r w:rsidR="00686ECC">
        <w:rPr>
          <w:rFonts w:eastAsiaTheme="minorEastAsia"/>
          <w:bCs/>
        </w:rPr>
        <w:t xml:space="preserve">care-related </w:t>
      </w:r>
      <w:r w:rsidR="003724ED">
        <w:rPr>
          <w:rFonts w:eastAsiaTheme="minorEastAsia"/>
          <w:bCs/>
        </w:rPr>
        <w:t>per resident day (</w:t>
      </w:r>
      <w:r w:rsidR="00686ECC">
        <w:rPr>
          <w:rFonts w:eastAsiaTheme="minorEastAsia"/>
          <w:bCs/>
        </w:rPr>
        <w:t>PRD</w:t>
      </w:r>
      <w:r w:rsidR="003724ED">
        <w:rPr>
          <w:rFonts w:eastAsiaTheme="minorEastAsia"/>
          <w:bCs/>
        </w:rPr>
        <w:t>)</w:t>
      </w:r>
      <w:r w:rsidR="00686ECC">
        <w:rPr>
          <w:rFonts w:eastAsiaTheme="minorEastAsia"/>
          <w:bCs/>
        </w:rPr>
        <w:t xml:space="preserve"> costs (Table 2).  </w:t>
      </w:r>
      <w:r>
        <w:rPr>
          <w:rFonts w:eastAsiaTheme="minorEastAsia"/>
        </w:rPr>
        <w:t xml:space="preserve">Annual care-related </w:t>
      </w:r>
      <w:r w:rsidR="003724ED">
        <w:rPr>
          <w:rFonts w:eastAsiaTheme="minorEastAsia"/>
        </w:rPr>
        <w:t xml:space="preserve">PRD </w:t>
      </w:r>
      <w:r>
        <w:rPr>
          <w:rFonts w:eastAsiaTheme="minorEastAsia"/>
        </w:rPr>
        <w:t xml:space="preserve">costs grew at a rate of $3.74. The implementation of VBR </w:t>
      </w:r>
      <w:r w:rsidR="007D5F1F">
        <w:rPr>
          <w:rFonts w:eastAsiaTheme="minorEastAsia"/>
        </w:rPr>
        <w:t xml:space="preserve">(VBR Years) </w:t>
      </w:r>
      <w:r>
        <w:rPr>
          <w:rFonts w:eastAsiaTheme="minorEastAsia"/>
        </w:rPr>
        <w:t>shifted (intercept change) rates by $</w:t>
      </w:r>
      <w:r w:rsidR="00686ECC">
        <w:rPr>
          <w:rFonts w:eastAsiaTheme="minorEastAsia"/>
        </w:rPr>
        <w:t>10.90</w:t>
      </w:r>
      <w:r>
        <w:rPr>
          <w:rFonts w:eastAsiaTheme="minorEastAsia"/>
        </w:rPr>
        <w:t xml:space="preserve"> on average per facility.</w:t>
      </w:r>
      <w:r w:rsidR="00686ECC">
        <w:rPr>
          <w:rFonts w:eastAsiaTheme="minorEastAsia"/>
        </w:rPr>
        <w:t xml:space="preserve"> </w:t>
      </w:r>
      <w:r w:rsidR="00B4220C">
        <w:rPr>
          <w:rFonts w:eastAsiaTheme="minorEastAsia"/>
        </w:rPr>
        <w:t>For-profit</w:t>
      </w:r>
      <w:r>
        <w:rPr>
          <w:rFonts w:eastAsiaTheme="minorEastAsia"/>
        </w:rPr>
        <w:t xml:space="preserve"> facilities </w:t>
      </w:r>
      <w:r w:rsidR="00B4220C">
        <w:rPr>
          <w:rFonts w:eastAsiaTheme="minorEastAsia"/>
        </w:rPr>
        <w:t xml:space="preserve">fell below </w:t>
      </w:r>
      <w:r>
        <w:rPr>
          <w:rFonts w:eastAsiaTheme="minorEastAsia"/>
        </w:rPr>
        <w:t>government and non-profits (comparison ownership type) by an average of $</w:t>
      </w:r>
      <w:r w:rsidR="00686ECC">
        <w:rPr>
          <w:rFonts w:eastAsiaTheme="minorEastAsia"/>
        </w:rPr>
        <w:t>8.63</w:t>
      </w:r>
      <w:r>
        <w:rPr>
          <w:rFonts w:eastAsiaTheme="minorEastAsia"/>
        </w:rPr>
        <w:t xml:space="preserve"> </w:t>
      </w:r>
      <w:r w:rsidR="003724ED">
        <w:rPr>
          <w:rFonts w:eastAsiaTheme="minorEastAsia"/>
        </w:rPr>
        <w:t>PRD</w:t>
      </w:r>
      <w:r>
        <w:rPr>
          <w:rFonts w:eastAsiaTheme="minorEastAsia"/>
        </w:rPr>
        <w:t xml:space="preserve">. VBR did not appear to significantly impact that gap (nominally the gap widened). </w:t>
      </w:r>
      <w:r w:rsidR="00686ECC">
        <w:rPr>
          <w:rFonts w:eastAsiaTheme="minorEastAsia"/>
        </w:rPr>
        <w:t xml:space="preserve"> Several covariates also had significant relationships. </w:t>
      </w:r>
      <w:r>
        <w:rPr>
          <w:rFonts w:eastAsiaTheme="minorEastAsia"/>
        </w:rPr>
        <w:t>Facilities</w:t>
      </w:r>
      <w:r w:rsidR="00686ECC">
        <w:rPr>
          <w:rFonts w:eastAsiaTheme="minorEastAsia"/>
        </w:rPr>
        <w:t xml:space="preserve"> attached to </w:t>
      </w:r>
      <w:r>
        <w:rPr>
          <w:rFonts w:eastAsiaTheme="minorEastAsia"/>
        </w:rPr>
        <w:t>hospital</w:t>
      </w:r>
      <w:r w:rsidR="00686ECC">
        <w:rPr>
          <w:rFonts w:eastAsiaTheme="minorEastAsia"/>
        </w:rPr>
        <w:t>s</w:t>
      </w:r>
      <w:r>
        <w:rPr>
          <w:rFonts w:eastAsiaTheme="minorEastAsia"/>
        </w:rPr>
        <w:t xml:space="preserve"> out</w:t>
      </w:r>
      <w:r w:rsidR="00686ECC">
        <w:rPr>
          <w:rFonts w:eastAsiaTheme="minorEastAsia"/>
        </w:rPr>
        <w:t>-</w:t>
      </w:r>
      <w:r>
        <w:rPr>
          <w:rFonts w:eastAsiaTheme="minorEastAsia"/>
        </w:rPr>
        <w:t>spent their peers by $</w:t>
      </w:r>
      <w:r w:rsidR="00686ECC">
        <w:rPr>
          <w:rFonts w:eastAsiaTheme="minorEastAsia"/>
        </w:rPr>
        <w:t xml:space="preserve">23.80. </w:t>
      </w:r>
      <w:r>
        <w:rPr>
          <w:rFonts w:eastAsiaTheme="minorEastAsia"/>
        </w:rPr>
        <w:lastRenderedPageBreak/>
        <w:t xml:space="preserve">Facilities in the </w:t>
      </w:r>
      <w:r w:rsidR="00686ECC">
        <w:rPr>
          <w:rFonts w:eastAsiaTheme="minorEastAsia"/>
        </w:rPr>
        <w:t xml:space="preserve">Twin Cities </w:t>
      </w:r>
      <w:r>
        <w:rPr>
          <w:rFonts w:eastAsiaTheme="minorEastAsia"/>
        </w:rPr>
        <w:t xml:space="preserve">area outspent </w:t>
      </w:r>
      <w:r w:rsidR="00686ECC">
        <w:rPr>
          <w:rFonts w:eastAsiaTheme="minorEastAsia"/>
        </w:rPr>
        <w:t xml:space="preserve">rural facilities </w:t>
      </w:r>
      <w:r>
        <w:rPr>
          <w:rFonts w:eastAsiaTheme="minorEastAsia"/>
        </w:rPr>
        <w:t>by $</w:t>
      </w:r>
      <w:r w:rsidR="00686ECC">
        <w:rPr>
          <w:rFonts w:eastAsiaTheme="minorEastAsia"/>
        </w:rPr>
        <w:t>15.05</w:t>
      </w:r>
      <w:r>
        <w:rPr>
          <w:rFonts w:eastAsiaTheme="minorEastAsia"/>
        </w:rPr>
        <w:t xml:space="preserve"> </w:t>
      </w:r>
      <w:r w:rsidR="00C56800">
        <w:rPr>
          <w:rFonts w:eastAsiaTheme="minorEastAsia"/>
        </w:rPr>
        <w:t>PRD</w:t>
      </w:r>
      <w:r>
        <w:rPr>
          <w:rFonts w:eastAsiaTheme="minorEastAsia"/>
        </w:rPr>
        <w:t>,</w:t>
      </w:r>
      <w:r w:rsidR="00C56800">
        <w:rPr>
          <w:rFonts w:eastAsiaTheme="minorEastAsia"/>
        </w:rPr>
        <w:t xml:space="preserve"> and facilities in other urban areas out-spent rural facilities by $4.04 PRD.</w:t>
      </w:r>
      <w:r>
        <w:rPr>
          <w:rFonts w:eastAsiaTheme="minorEastAsia"/>
        </w:rPr>
        <w:t xml:space="preserve"> </w:t>
      </w:r>
      <w:r w:rsidR="00C56800">
        <w:rPr>
          <w:rFonts w:eastAsiaTheme="minorEastAsia"/>
        </w:rPr>
        <w:t>Higher costs were also incurred by larger facilities (residents/day), a higher case-mix index, lower percentage of Medicaid residents, and facilities with occupancy declines.</w:t>
      </w:r>
    </w:p>
    <w:p w14:paraId="2AD66057" w14:textId="5111B1D9" w:rsidR="003724ED" w:rsidRPr="003724ED" w:rsidRDefault="007016F7" w:rsidP="003724ED">
      <w:pPr>
        <w:spacing w:line="360" w:lineRule="auto"/>
        <w:ind w:firstLine="630"/>
        <w:rPr>
          <w:rFonts w:eastAsiaTheme="minorEastAsia"/>
        </w:rPr>
      </w:pPr>
      <w:r>
        <w:rPr>
          <w:rFonts w:eastAsiaTheme="minorEastAsia"/>
        </w:rPr>
        <w:t xml:space="preserve">Second, we modeled </w:t>
      </w:r>
      <w:r w:rsidR="003724ED" w:rsidRPr="003724ED">
        <w:rPr>
          <w:rFonts w:eastAsiaTheme="minorEastAsia"/>
        </w:rPr>
        <w:t>other operating cost PRD</w:t>
      </w:r>
      <w:r>
        <w:rPr>
          <w:rFonts w:eastAsiaTheme="minorEastAsia"/>
        </w:rPr>
        <w:t xml:space="preserve"> (administrative, dietary, laundry, and housekeeping)</w:t>
      </w:r>
      <w:r w:rsidR="003724ED" w:rsidRPr="003724ED">
        <w:rPr>
          <w:rFonts w:eastAsiaTheme="minorEastAsia"/>
        </w:rPr>
        <w:t xml:space="preserve">. Relationships for annual other operating cost PRD were similar to care related costs PRD, but on a more modest scale. Annual growth was $2.58, with a VBR shift (intercept change) of $2.08. </w:t>
      </w:r>
      <w:r w:rsidR="00B4220C">
        <w:rPr>
          <w:rFonts w:eastAsiaTheme="minorEastAsia"/>
        </w:rPr>
        <w:t>For-profit</w:t>
      </w:r>
      <w:r w:rsidR="003724ED" w:rsidRPr="003724ED">
        <w:rPr>
          <w:rFonts w:eastAsiaTheme="minorEastAsia"/>
        </w:rPr>
        <w:t xml:space="preserve"> facilities </w:t>
      </w:r>
      <w:r w:rsidR="00B4220C">
        <w:rPr>
          <w:rFonts w:eastAsiaTheme="minorEastAsia"/>
        </w:rPr>
        <w:t xml:space="preserve">spent less </w:t>
      </w:r>
      <w:r w:rsidR="00B6768E">
        <w:rPr>
          <w:rFonts w:eastAsiaTheme="minorEastAsia"/>
        </w:rPr>
        <w:t>(</w:t>
      </w:r>
      <w:r w:rsidR="00B6768E" w:rsidRPr="003724ED">
        <w:rPr>
          <w:rFonts w:eastAsiaTheme="minorEastAsia"/>
        </w:rPr>
        <w:t>-</w:t>
      </w:r>
      <w:r w:rsidR="003724ED" w:rsidRPr="003724ED">
        <w:rPr>
          <w:rFonts w:eastAsiaTheme="minorEastAsia"/>
        </w:rPr>
        <w:t>$3.36</w:t>
      </w:r>
      <w:r w:rsidR="00B4220C">
        <w:rPr>
          <w:rFonts w:eastAsiaTheme="minorEastAsia"/>
        </w:rPr>
        <w:t>) than other ownership types.  H</w:t>
      </w:r>
      <w:r w:rsidR="003724ED" w:rsidRPr="003724ED">
        <w:rPr>
          <w:rFonts w:eastAsiaTheme="minorEastAsia"/>
        </w:rPr>
        <w:t xml:space="preserve">ospital attached </w:t>
      </w:r>
      <w:r w:rsidR="00B4220C">
        <w:rPr>
          <w:rFonts w:eastAsiaTheme="minorEastAsia"/>
        </w:rPr>
        <w:t xml:space="preserve">facilities </w:t>
      </w:r>
      <w:r w:rsidR="003724ED" w:rsidRPr="003724ED">
        <w:rPr>
          <w:rFonts w:eastAsiaTheme="minorEastAsia"/>
        </w:rPr>
        <w:t>spent an average of $12.86 more PRD. Twin City facilities spent an average of $5.03 PRD more than rural facilities, but there was not a significant difference between other urban MSAs and rural facilities. Larger facilities spent less on other operating costs PRD at a rate of -$0.07 per daily resident. Higher case mix was positively correlated ($25.34) and occupancy change was negatively correlated (-$0.29) with other operating costs PRD.</w:t>
      </w:r>
    </w:p>
    <w:p w14:paraId="7D3AB607" w14:textId="77777777" w:rsidR="00C56800" w:rsidRDefault="007016F7" w:rsidP="00C56800">
      <w:pPr>
        <w:spacing w:line="360" w:lineRule="auto"/>
        <w:ind w:firstLine="630"/>
        <w:rPr>
          <w:rFonts w:eastAsiaTheme="minorEastAsia"/>
        </w:rPr>
      </w:pPr>
      <w:r>
        <w:rPr>
          <w:rFonts w:eastAsiaTheme="minorEastAsia"/>
        </w:rPr>
        <w:t xml:space="preserve">Third, we </w:t>
      </w:r>
      <w:r w:rsidR="003724ED" w:rsidRPr="003724ED">
        <w:rPr>
          <w:rFonts w:eastAsiaTheme="minorEastAsia"/>
        </w:rPr>
        <w:t>model</w:t>
      </w:r>
      <w:r>
        <w:rPr>
          <w:rFonts w:eastAsiaTheme="minorEastAsia"/>
        </w:rPr>
        <w:t>ed</w:t>
      </w:r>
      <w:r w:rsidR="003724ED" w:rsidRPr="003724ED">
        <w:rPr>
          <w:rFonts w:eastAsiaTheme="minorEastAsia"/>
        </w:rPr>
        <w:t xml:space="preserve"> </w:t>
      </w:r>
      <w:r>
        <w:rPr>
          <w:rFonts w:eastAsiaTheme="minorEastAsia"/>
        </w:rPr>
        <w:t xml:space="preserve">facility occupancy rate.  Results from this model indicated that </w:t>
      </w:r>
      <w:r w:rsidR="003724ED">
        <w:rPr>
          <w:rFonts w:eastAsiaTheme="minorEastAsia"/>
        </w:rPr>
        <w:t>p</w:t>
      </w:r>
      <w:r w:rsidR="00C56800" w:rsidRPr="003724ED">
        <w:rPr>
          <w:rFonts w:eastAsiaTheme="minorEastAsia"/>
        </w:rPr>
        <w:t>ercentage occupancy declined by -1.80% annually</w:t>
      </w:r>
      <w:r w:rsidR="003724ED">
        <w:rPr>
          <w:rFonts w:eastAsiaTheme="minorEastAsia"/>
        </w:rPr>
        <w:t xml:space="preserve"> from 2013-2017</w:t>
      </w:r>
      <w:r w:rsidR="00C56800" w:rsidRPr="003724ED">
        <w:rPr>
          <w:rFonts w:eastAsiaTheme="minorEastAsia"/>
        </w:rPr>
        <w:t>.</w:t>
      </w:r>
      <w:r w:rsidR="00C56800">
        <w:rPr>
          <w:rFonts w:eastAsiaTheme="minorEastAsia"/>
        </w:rPr>
        <w:t xml:space="preserve">  </w:t>
      </w:r>
      <w:r w:rsidR="007D5F1F">
        <w:rPr>
          <w:rFonts w:eastAsiaTheme="minorEastAsia"/>
        </w:rPr>
        <w:t>The implementation of VBR (VBR years) did not have a significant impact on occupancy</w:t>
      </w:r>
      <w:r>
        <w:rPr>
          <w:rFonts w:eastAsiaTheme="minorEastAsia"/>
        </w:rPr>
        <w:t>, the downward trend was consistent between the pre-VBR and VBR periods.</w:t>
      </w:r>
      <w:r w:rsidR="007D5F1F">
        <w:rPr>
          <w:rFonts w:eastAsiaTheme="minorEastAsia"/>
        </w:rPr>
        <w:t xml:space="preserve"> </w:t>
      </w:r>
      <w:r w:rsidR="00B4220C">
        <w:rPr>
          <w:rFonts w:eastAsiaTheme="minorEastAsia"/>
        </w:rPr>
        <w:t>For-profit</w:t>
      </w:r>
      <w:r w:rsidR="00C56800">
        <w:rPr>
          <w:rFonts w:eastAsiaTheme="minorEastAsia"/>
        </w:rPr>
        <w:t xml:space="preserve"> facilities averaged -2.43% below the non</w:t>
      </w:r>
      <w:r w:rsidR="00A0262E">
        <w:rPr>
          <w:rFonts w:eastAsiaTheme="minorEastAsia"/>
        </w:rPr>
        <w:t>-</w:t>
      </w:r>
      <w:r w:rsidR="00C56800">
        <w:rPr>
          <w:rFonts w:eastAsiaTheme="minorEastAsia"/>
        </w:rPr>
        <w:t xml:space="preserve">profit and governmental facilities.  </w:t>
      </w:r>
      <w:r w:rsidR="007D5F1F">
        <w:rPr>
          <w:rFonts w:eastAsiaTheme="minorEastAsia"/>
        </w:rPr>
        <w:t xml:space="preserve">Occupancy percentage was significantly lower for facilities with fewer beds </w:t>
      </w:r>
      <w:r>
        <w:rPr>
          <w:rFonts w:eastAsiaTheme="minorEastAsia"/>
        </w:rPr>
        <w:t xml:space="preserve">(-3.58%) </w:t>
      </w:r>
      <w:r w:rsidR="007D5F1F">
        <w:rPr>
          <w:rFonts w:eastAsiaTheme="minorEastAsia"/>
        </w:rPr>
        <w:t>and a higher case mix index</w:t>
      </w:r>
      <w:r>
        <w:rPr>
          <w:rFonts w:eastAsiaTheme="minorEastAsia"/>
        </w:rPr>
        <w:t xml:space="preserve"> (-10.86%).</w:t>
      </w:r>
    </w:p>
    <w:p w14:paraId="5066353C" w14:textId="7DDBA37F" w:rsidR="00366750" w:rsidRDefault="007016F7" w:rsidP="00366750">
      <w:pPr>
        <w:spacing w:after="120" w:line="360" w:lineRule="auto"/>
        <w:ind w:firstLine="634"/>
        <w:rPr>
          <w:rFonts w:eastAsiaTheme="minorEastAsia"/>
        </w:rPr>
      </w:pPr>
      <w:r>
        <w:rPr>
          <w:rFonts w:eastAsiaTheme="minorEastAsia"/>
        </w:rPr>
        <w:t>Finally, we m</w:t>
      </w:r>
      <w:r w:rsidR="003724ED">
        <w:rPr>
          <w:rFonts w:eastAsiaTheme="minorEastAsia"/>
        </w:rPr>
        <w:t>odel</w:t>
      </w:r>
      <w:r>
        <w:rPr>
          <w:rFonts w:eastAsiaTheme="minorEastAsia"/>
        </w:rPr>
        <w:t>ed</w:t>
      </w:r>
      <w:r w:rsidR="003724ED">
        <w:rPr>
          <w:rFonts w:eastAsiaTheme="minorEastAsia"/>
        </w:rPr>
        <w:t xml:space="preserve"> the facility’s </w:t>
      </w:r>
      <w:r w:rsidR="007D5F1F">
        <w:rPr>
          <w:rFonts w:eastAsiaTheme="minorEastAsia"/>
        </w:rPr>
        <w:t xml:space="preserve">VBR </w:t>
      </w:r>
      <w:r w:rsidR="00BF3A18">
        <w:rPr>
          <w:rFonts w:eastAsiaTheme="minorEastAsia"/>
        </w:rPr>
        <w:t>quality score</w:t>
      </w:r>
      <w:r w:rsidR="003724ED">
        <w:rPr>
          <w:rFonts w:eastAsiaTheme="minorEastAsia"/>
        </w:rPr>
        <w:t xml:space="preserve">.  The quality score </w:t>
      </w:r>
      <w:r w:rsidR="00BF3A18">
        <w:rPr>
          <w:rFonts w:eastAsiaTheme="minorEastAsia"/>
        </w:rPr>
        <w:t xml:space="preserve">grew at a </w:t>
      </w:r>
      <w:r>
        <w:rPr>
          <w:rFonts w:eastAsiaTheme="minorEastAsia"/>
        </w:rPr>
        <w:t xml:space="preserve">small but significant </w:t>
      </w:r>
      <w:r w:rsidR="00BF3A18">
        <w:rPr>
          <w:rFonts w:eastAsiaTheme="minorEastAsia"/>
        </w:rPr>
        <w:t>rate of 0.</w:t>
      </w:r>
      <w:r w:rsidR="007D5F1F">
        <w:rPr>
          <w:rFonts w:eastAsiaTheme="minorEastAsia"/>
        </w:rPr>
        <w:t>5</w:t>
      </w:r>
      <w:r w:rsidR="00BF3A18">
        <w:rPr>
          <w:rFonts w:eastAsiaTheme="minorEastAsia"/>
        </w:rPr>
        <w:t>8 points per year</w:t>
      </w:r>
      <w:r w:rsidR="003724ED">
        <w:rPr>
          <w:rFonts w:eastAsiaTheme="minorEastAsia"/>
        </w:rPr>
        <w:t xml:space="preserve"> from 2013-2017</w:t>
      </w:r>
      <w:r w:rsidR="00BF3A18">
        <w:rPr>
          <w:rFonts w:eastAsiaTheme="minorEastAsia"/>
        </w:rPr>
        <w:t>. The implementation of VBR did not have a significant impact on the average quality score</w:t>
      </w:r>
      <w:r w:rsidR="003724ED">
        <w:rPr>
          <w:rFonts w:eastAsiaTheme="minorEastAsia"/>
        </w:rPr>
        <w:t xml:space="preserve">; the </w:t>
      </w:r>
      <w:r>
        <w:rPr>
          <w:rFonts w:eastAsiaTheme="minorEastAsia"/>
        </w:rPr>
        <w:t xml:space="preserve">upward </w:t>
      </w:r>
      <w:r w:rsidR="003724ED">
        <w:rPr>
          <w:rFonts w:eastAsiaTheme="minorEastAsia"/>
        </w:rPr>
        <w:t xml:space="preserve">trend was consistent across the pre-VBR and VBR periods.  </w:t>
      </w:r>
      <w:r w:rsidR="00B4220C">
        <w:rPr>
          <w:rFonts w:eastAsiaTheme="minorEastAsia"/>
        </w:rPr>
        <w:t>For-profit</w:t>
      </w:r>
      <w:r w:rsidR="00BF3A18">
        <w:rPr>
          <w:rFonts w:eastAsiaTheme="minorEastAsia"/>
        </w:rPr>
        <w:t xml:space="preserve"> facilities </w:t>
      </w:r>
      <w:r w:rsidR="00B4220C">
        <w:rPr>
          <w:rFonts w:eastAsiaTheme="minorEastAsia"/>
        </w:rPr>
        <w:t xml:space="preserve">fell below </w:t>
      </w:r>
      <w:r w:rsidR="00BF3A18">
        <w:rPr>
          <w:rFonts w:eastAsiaTheme="minorEastAsia"/>
        </w:rPr>
        <w:t xml:space="preserve">government and non-profits (comparison ownership type) by an average of </w:t>
      </w:r>
      <w:r w:rsidR="0060387F">
        <w:rPr>
          <w:rFonts w:eastAsiaTheme="minorEastAsia"/>
        </w:rPr>
        <w:t>-2.51</w:t>
      </w:r>
      <w:r w:rsidR="00BF3A18">
        <w:rPr>
          <w:rFonts w:eastAsiaTheme="minorEastAsia"/>
        </w:rPr>
        <w:t xml:space="preserve"> quality points. </w:t>
      </w:r>
      <w:r w:rsidR="0060387F">
        <w:rPr>
          <w:rFonts w:eastAsiaTheme="minorEastAsia"/>
        </w:rPr>
        <w:t xml:space="preserve">The implementation of </w:t>
      </w:r>
      <w:r w:rsidR="00BF3A18">
        <w:rPr>
          <w:rFonts w:eastAsiaTheme="minorEastAsia"/>
        </w:rPr>
        <w:t>VBR did not appear to significantly impact that gap</w:t>
      </w:r>
      <w:r w:rsidR="0060387F">
        <w:rPr>
          <w:rFonts w:eastAsiaTheme="minorEastAsia"/>
        </w:rPr>
        <w:t xml:space="preserve"> </w:t>
      </w:r>
      <w:r w:rsidR="003724ED">
        <w:rPr>
          <w:rFonts w:eastAsiaTheme="minorEastAsia"/>
        </w:rPr>
        <w:t xml:space="preserve">between for-profit facilities and other ownership </w:t>
      </w:r>
      <w:r w:rsidR="00B6768E">
        <w:rPr>
          <w:rFonts w:eastAsiaTheme="minorEastAsia"/>
        </w:rPr>
        <w:t xml:space="preserve">types </w:t>
      </w:r>
      <w:r w:rsidR="0060387F">
        <w:rPr>
          <w:rFonts w:eastAsiaTheme="minorEastAsia"/>
        </w:rPr>
        <w:t xml:space="preserve">(VBR * </w:t>
      </w:r>
      <w:r w:rsidR="00B4220C">
        <w:rPr>
          <w:rFonts w:eastAsiaTheme="minorEastAsia"/>
        </w:rPr>
        <w:t>For-profit</w:t>
      </w:r>
      <w:r w:rsidR="0060387F">
        <w:rPr>
          <w:rFonts w:eastAsiaTheme="minorEastAsia"/>
        </w:rPr>
        <w:t xml:space="preserve"> ownership)</w:t>
      </w:r>
      <w:r w:rsidR="00BF3A18">
        <w:rPr>
          <w:rFonts w:eastAsiaTheme="minorEastAsia"/>
        </w:rPr>
        <w:t xml:space="preserve">. Facilities in the Twin Cities metro area had higher quality scores </w:t>
      </w:r>
      <w:r w:rsidR="0060387F">
        <w:rPr>
          <w:rFonts w:eastAsiaTheme="minorEastAsia"/>
        </w:rPr>
        <w:t xml:space="preserve">(1.63) </w:t>
      </w:r>
      <w:r w:rsidR="00BF3A18">
        <w:rPr>
          <w:rFonts w:eastAsiaTheme="minorEastAsia"/>
        </w:rPr>
        <w:t>than rural facilities</w:t>
      </w:r>
      <w:r w:rsidR="0060387F">
        <w:rPr>
          <w:rFonts w:eastAsiaTheme="minorEastAsia"/>
        </w:rPr>
        <w:t xml:space="preserve">, while facilities with a higher percentage of Medicaid residents had lower scores. </w:t>
      </w:r>
      <w:r w:rsidR="00954F94">
        <w:rPr>
          <w:rFonts w:eastAsiaTheme="minorEastAsia"/>
        </w:rPr>
        <w:t xml:space="preserve">Surprisingly, care related </w:t>
      </w:r>
      <w:r w:rsidR="00BF3A18">
        <w:rPr>
          <w:rFonts w:eastAsiaTheme="minorEastAsia"/>
        </w:rPr>
        <w:t xml:space="preserve">cost </w:t>
      </w:r>
      <w:r w:rsidR="00954F94">
        <w:rPr>
          <w:rFonts w:eastAsiaTheme="minorEastAsia"/>
        </w:rPr>
        <w:t xml:space="preserve">PRD </w:t>
      </w:r>
      <w:r w:rsidR="00BF3A18">
        <w:rPr>
          <w:rFonts w:eastAsiaTheme="minorEastAsia"/>
        </w:rPr>
        <w:t xml:space="preserve">was not associated with </w:t>
      </w:r>
      <w:r w:rsidR="00954F94">
        <w:rPr>
          <w:rFonts w:eastAsiaTheme="minorEastAsia"/>
        </w:rPr>
        <w:t xml:space="preserve">VBR care </w:t>
      </w:r>
      <w:r w:rsidR="00BF3A18">
        <w:rPr>
          <w:rFonts w:eastAsiaTheme="minorEastAsia"/>
        </w:rPr>
        <w:t xml:space="preserve">quality </w:t>
      </w:r>
      <w:r w:rsidR="00954F94">
        <w:rPr>
          <w:rFonts w:eastAsiaTheme="minorEastAsia"/>
        </w:rPr>
        <w:t>either alone or when interacted with VBR implementation.</w:t>
      </w:r>
    </w:p>
    <w:p w14:paraId="7C152106" w14:textId="77777777" w:rsidR="00366750" w:rsidRPr="00366750" w:rsidRDefault="00366750" w:rsidP="00366750">
      <w:pPr>
        <w:spacing w:after="120" w:line="360" w:lineRule="auto"/>
        <w:rPr>
          <w:rFonts w:eastAsiaTheme="minorEastAsia"/>
          <w:b/>
          <w:bCs/>
        </w:rPr>
      </w:pPr>
      <w:r w:rsidRPr="00366750">
        <w:rPr>
          <w:rFonts w:eastAsiaTheme="minorEastAsia"/>
          <w:b/>
          <w:bCs/>
        </w:rPr>
        <w:lastRenderedPageBreak/>
        <w:t>Discussion</w:t>
      </w:r>
    </w:p>
    <w:p w14:paraId="51A0E867" w14:textId="5CDCA9A3" w:rsidR="00366750" w:rsidRDefault="007F4A4A" w:rsidP="00366750">
      <w:pPr>
        <w:spacing w:line="360" w:lineRule="auto"/>
        <w:ind w:firstLine="630"/>
        <w:rPr>
          <w:rFonts w:eastAsiaTheme="minorEastAsia"/>
        </w:rPr>
      </w:pPr>
      <w:r>
        <w:rPr>
          <w:rFonts w:eastAsiaTheme="minorEastAsia"/>
        </w:rPr>
        <w:t>We found evidence that implementation of VBR m</w:t>
      </w:r>
      <w:r w:rsidR="00366750">
        <w:rPr>
          <w:rFonts w:eastAsiaTheme="minorEastAsia"/>
        </w:rPr>
        <w:t xml:space="preserve">et state policy goal of increased </w:t>
      </w:r>
      <w:r w:rsidR="00366750">
        <w:rPr>
          <w:rFonts w:eastAsiaTheme="minorEastAsia"/>
        </w:rPr>
        <w:t xml:space="preserve">nursing and other care-related expenditures.  Average annual VBR </w:t>
      </w:r>
      <w:r w:rsidR="00807045">
        <w:rPr>
          <w:rFonts w:eastAsiaTheme="minorEastAsia"/>
        </w:rPr>
        <w:t xml:space="preserve">impact </w:t>
      </w:r>
      <w:r w:rsidR="006663E3">
        <w:rPr>
          <w:rFonts w:eastAsiaTheme="minorEastAsia"/>
        </w:rPr>
        <w:t xml:space="preserve">was estimated to </w:t>
      </w:r>
      <w:r w:rsidR="00807045">
        <w:rPr>
          <w:rFonts w:eastAsiaTheme="minorEastAsia"/>
        </w:rPr>
        <w:t xml:space="preserve">be </w:t>
      </w:r>
      <w:r w:rsidR="00366750">
        <w:rPr>
          <w:rFonts w:eastAsiaTheme="minorEastAsia"/>
        </w:rPr>
        <w:t>$</w:t>
      </w:r>
      <w:r w:rsidR="006663E3">
        <w:rPr>
          <w:rFonts w:eastAsiaTheme="minorEastAsia"/>
        </w:rPr>
        <w:t xml:space="preserve">10.90 </w:t>
      </w:r>
      <w:r w:rsidR="00B6768E">
        <w:rPr>
          <w:rFonts w:eastAsiaTheme="minorEastAsia"/>
        </w:rPr>
        <w:t>PRD.</w:t>
      </w:r>
      <w:r w:rsidR="00366750">
        <w:rPr>
          <w:rFonts w:eastAsiaTheme="minorEastAsia"/>
        </w:rPr>
        <w:t xml:space="preserve">  </w:t>
      </w:r>
      <w:r w:rsidR="006663E3">
        <w:rPr>
          <w:rFonts w:eastAsiaTheme="minorEastAsia"/>
        </w:rPr>
        <w:t>N</w:t>
      </w:r>
      <w:r w:rsidR="00366750">
        <w:rPr>
          <w:rFonts w:eastAsiaTheme="minorEastAsia"/>
        </w:rPr>
        <w:t xml:space="preserve">on-profit, governmental and for-profit facilities </w:t>
      </w:r>
      <w:r w:rsidR="006663E3">
        <w:rPr>
          <w:rFonts w:eastAsiaTheme="minorEastAsia"/>
        </w:rPr>
        <w:t xml:space="preserve">all </w:t>
      </w:r>
      <w:r w:rsidR="00EA7736">
        <w:rPr>
          <w:rFonts w:eastAsiaTheme="minorEastAsia"/>
        </w:rPr>
        <w:t>increased their care related expenditures</w:t>
      </w:r>
      <w:r w:rsidR="00366750">
        <w:rPr>
          <w:rFonts w:eastAsiaTheme="minorEastAsia"/>
        </w:rPr>
        <w:t xml:space="preserve">.  </w:t>
      </w:r>
      <w:r w:rsidR="00807045">
        <w:rPr>
          <w:rFonts w:eastAsiaTheme="minorEastAsia"/>
        </w:rPr>
        <w:t>However, f</w:t>
      </w:r>
      <w:r w:rsidR="00366750">
        <w:rPr>
          <w:rFonts w:eastAsiaTheme="minorEastAsia"/>
        </w:rPr>
        <w:t>or-profit facilities underspen</w:t>
      </w:r>
      <w:r w:rsidR="00B6768E">
        <w:rPr>
          <w:rFonts w:eastAsiaTheme="minorEastAsia"/>
        </w:rPr>
        <w:t>t</w:t>
      </w:r>
      <w:r w:rsidR="00366750">
        <w:rPr>
          <w:rFonts w:eastAsiaTheme="minorEastAsia"/>
        </w:rPr>
        <w:t xml:space="preserve"> </w:t>
      </w:r>
      <w:r w:rsidR="00D44F06">
        <w:rPr>
          <w:rFonts w:eastAsiaTheme="minorEastAsia"/>
        </w:rPr>
        <w:t xml:space="preserve">the other two </w:t>
      </w:r>
      <w:r w:rsidR="006663E3">
        <w:rPr>
          <w:rFonts w:eastAsiaTheme="minorEastAsia"/>
        </w:rPr>
        <w:t xml:space="preserve">ownership types </w:t>
      </w:r>
      <w:r w:rsidR="00D44F06">
        <w:rPr>
          <w:rFonts w:eastAsiaTheme="minorEastAsia"/>
        </w:rPr>
        <w:t>by</w:t>
      </w:r>
      <w:r w:rsidR="006663E3">
        <w:rPr>
          <w:rFonts w:eastAsiaTheme="minorEastAsia"/>
        </w:rPr>
        <w:t xml:space="preserve"> </w:t>
      </w:r>
      <w:r w:rsidR="006663E3">
        <w:rPr>
          <w:rFonts w:eastAsiaTheme="minorEastAsia"/>
        </w:rPr>
        <w:t>an average of</w:t>
      </w:r>
      <w:r w:rsidR="00D44F06">
        <w:rPr>
          <w:rFonts w:eastAsiaTheme="minorEastAsia"/>
        </w:rPr>
        <w:t xml:space="preserve"> </w:t>
      </w:r>
      <w:r w:rsidR="006663E3">
        <w:rPr>
          <w:rFonts w:eastAsiaTheme="minorEastAsia"/>
        </w:rPr>
        <w:t>-</w:t>
      </w:r>
      <w:r w:rsidR="00D44F06">
        <w:rPr>
          <w:rFonts w:eastAsiaTheme="minorEastAsia"/>
        </w:rPr>
        <w:t>$</w:t>
      </w:r>
      <w:r w:rsidR="006663E3">
        <w:rPr>
          <w:rFonts w:eastAsiaTheme="minorEastAsia"/>
        </w:rPr>
        <w:t>8.63 PRD</w:t>
      </w:r>
      <w:r w:rsidR="00D44F06">
        <w:rPr>
          <w:rFonts w:eastAsiaTheme="minorEastAsia"/>
        </w:rPr>
        <w:t xml:space="preserve">.  </w:t>
      </w:r>
      <w:r w:rsidR="00807045">
        <w:rPr>
          <w:rFonts w:eastAsiaTheme="minorEastAsia"/>
        </w:rPr>
        <w:t>Costs in the other operating component of the rate also increased significantly for all three ownership types d</w:t>
      </w:r>
      <w:r w:rsidR="00D44F06">
        <w:rPr>
          <w:rFonts w:eastAsiaTheme="minorEastAsia"/>
        </w:rPr>
        <w:t xml:space="preserve">espite the profit-incentive </w:t>
      </w:r>
      <w:r w:rsidR="00807045">
        <w:rPr>
          <w:rFonts w:eastAsiaTheme="minorEastAsia"/>
        </w:rPr>
        <w:t xml:space="preserve">for reducing these costs. </w:t>
      </w:r>
      <w:r w:rsidR="00D44F06">
        <w:rPr>
          <w:rFonts w:eastAsiaTheme="minorEastAsia"/>
        </w:rPr>
        <w:t>For</w:t>
      </w:r>
      <w:r w:rsidR="00807045">
        <w:rPr>
          <w:rFonts w:eastAsiaTheme="minorEastAsia"/>
        </w:rPr>
        <w:t>-</w:t>
      </w:r>
      <w:r w:rsidR="00D44F06">
        <w:rPr>
          <w:rFonts w:eastAsiaTheme="minorEastAsia"/>
        </w:rPr>
        <w:t xml:space="preserve">profit facilities were no more likely to respond to this </w:t>
      </w:r>
      <w:r w:rsidR="00807045">
        <w:rPr>
          <w:rFonts w:eastAsiaTheme="minorEastAsia"/>
        </w:rPr>
        <w:t xml:space="preserve">profit </w:t>
      </w:r>
      <w:r w:rsidR="00D44F06">
        <w:rPr>
          <w:rFonts w:eastAsiaTheme="minorEastAsia"/>
        </w:rPr>
        <w:t>incentive than the non-profit or governmental.</w:t>
      </w:r>
    </w:p>
    <w:p w14:paraId="25008FC3" w14:textId="77777777" w:rsidR="00D44F06" w:rsidRDefault="00807045" w:rsidP="00366750">
      <w:pPr>
        <w:spacing w:line="360" w:lineRule="auto"/>
        <w:ind w:firstLine="630"/>
        <w:rPr>
          <w:rFonts w:eastAsiaTheme="minorEastAsia"/>
        </w:rPr>
      </w:pPr>
      <w:r>
        <w:rPr>
          <w:rFonts w:eastAsiaTheme="minorEastAsia"/>
        </w:rPr>
        <w:t>On the other hand, t</w:t>
      </w:r>
      <w:r w:rsidR="00D44F06">
        <w:rPr>
          <w:rFonts w:eastAsiaTheme="minorEastAsia"/>
        </w:rPr>
        <w:t>he VBR did not have the</w:t>
      </w:r>
      <w:r>
        <w:rPr>
          <w:rFonts w:eastAsiaTheme="minorEastAsia"/>
        </w:rPr>
        <w:t xml:space="preserve"> intended effect of increasing care quality</w:t>
      </w:r>
      <w:r w:rsidR="00D44F06">
        <w:rPr>
          <w:rFonts w:eastAsiaTheme="minorEastAsia"/>
        </w:rPr>
        <w:t>.  The</w:t>
      </w:r>
      <w:r>
        <w:rPr>
          <w:rFonts w:eastAsiaTheme="minorEastAsia"/>
        </w:rPr>
        <w:t xml:space="preserve"> </w:t>
      </w:r>
      <w:r w:rsidR="00D44F06">
        <w:rPr>
          <w:rFonts w:eastAsiaTheme="minorEastAsia"/>
        </w:rPr>
        <w:t xml:space="preserve">quality </w:t>
      </w:r>
      <w:r w:rsidR="00B2259F" w:rsidRPr="00B2259F">
        <w:rPr>
          <w:rFonts w:eastAsiaTheme="minorEastAsia"/>
        </w:rPr>
        <w:t xml:space="preserve">score </w:t>
      </w:r>
      <w:r>
        <w:rPr>
          <w:rFonts w:eastAsiaTheme="minorEastAsia"/>
        </w:rPr>
        <w:t>for non-profit and governmental facilities</w:t>
      </w:r>
      <w:r w:rsidRPr="00B2259F">
        <w:rPr>
          <w:rFonts w:eastAsiaTheme="minorEastAsia"/>
        </w:rPr>
        <w:t xml:space="preserve"> </w:t>
      </w:r>
      <w:r>
        <w:rPr>
          <w:rFonts w:eastAsiaTheme="minorEastAsia"/>
        </w:rPr>
        <w:t xml:space="preserve">trended slightly upward </w:t>
      </w:r>
      <w:r w:rsidR="00D44F06" w:rsidRPr="00B2259F">
        <w:rPr>
          <w:rFonts w:eastAsiaTheme="minorEastAsia"/>
        </w:rPr>
        <w:t>across</w:t>
      </w:r>
      <w:r w:rsidR="00D44F06">
        <w:rPr>
          <w:rFonts w:eastAsiaTheme="minorEastAsia"/>
        </w:rPr>
        <w:t xml:space="preserve"> </w:t>
      </w:r>
      <w:r>
        <w:rPr>
          <w:rFonts w:eastAsiaTheme="minorEastAsia"/>
        </w:rPr>
        <w:t xml:space="preserve">both </w:t>
      </w:r>
      <w:r w:rsidR="00D44F06">
        <w:rPr>
          <w:rFonts w:eastAsiaTheme="minorEastAsia"/>
        </w:rPr>
        <w:t>the per-VBR and VBR periods</w:t>
      </w:r>
      <w:r>
        <w:rPr>
          <w:rFonts w:eastAsiaTheme="minorEastAsia"/>
        </w:rPr>
        <w:t>; w</w:t>
      </w:r>
      <w:r w:rsidR="00D44F06">
        <w:rPr>
          <w:rFonts w:eastAsiaTheme="minorEastAsia"/>
        </w:rPr>
        <w:t xml:space="preserve">hereas, </w:t>
      </w:r>
      <w:r w:rsidR="00B2259F">
        <w:rPr>
          <w:rFonts w:eastAsiaTheme="minorEastAsia"/>
        </w:rPr>
        <w:t xml:space="preserve">the trend among </w:t>
      </w:r>
      <w:r w:rsidR="00D44F06">
        <w:rPr>
          <w:rFonts w:eastAsiaTheme="minorEastAsia"/>
        </w:rPr>
        <w:t xml:space="preserve">for-profit facilities </w:t>
      </w:r>
      <w:r w:rsidR="00B2259F">
        <w:rPr>
          <w:rFonts w:eastAsiaTheme="minorEastAsia"/>
        </w:rPr>
        <w:t xml:space="preserve">was </w:t>
      </w:r>
      <w:r>
        <w:rPr>
          <w:rFonts w:eastAsiaTheme="minorEastAsia"/>
        </w:rPr>
        <w:t xml:space="preserve">relatively </w:t>
      </w:r>
      <w:r w:rsidR="00B2259F">
        <w:rPr>
          <w:rFonts w:eastAsiaTheme="minorEastAsia"/>
        </w:rPr>
        <w:t xml:space="preserve">flat.  </w:t>
      </w:r>
      <w:r>
        <w:rPr>
          <w:rFonts w:eastAsiaTheme="minorEastAsia"/>
        </w:rPr>
        <w:t>F</w:t>
      </w:r>
      <w:r w:rsidR="00B2259F">
        <w:rPr>
          <w:rFonts w:eastAsiaTheme="minorEastAsia"/>
        </w:rPr>
        <w:t>or-p</w:t>
      </w:r>
      <w:r w:rsidR="00D44F06">
        <w:rPr>
          <w:rFonts w:eastAsiaTheme="minorEastAsia"/>
        </w:rPr>
        <w:t>rofit facilities</w:t>
      </w:r>
      <w:r w:rsidR="00B2259F">
        <w:rPr>
          <w:rFonts w:eastAsiaTheme="minorEastAsia"/>
        </w:rPr>
        <w:t xml:space="preserve"> continued to </w:t>
      </w:r>
      <w:r w:rsidR="00506E85">
        <w:rPr>
          <w:rFonts w:eastAsiaTheme="minorEastAsia"/>
        </w:rPr>
        <w:t xml:space="preserve">fall below </w:t>
      </w:r>
      <w:r w:rsidR="00B2259F">
        <w:rPr>
          <w:rFonts w:eastAsiaTheme="minorEastAsia"/>
        </w:rPr>
        <w:t>non-</w:t>
      </w:r>
      <w:r w:rsidR="007E78CC">
        <w:rPr>
          <w:rFonts w:eastAsiaTheme="minorEastAsia"/>
        </w:rPr>
        <w:t>profit and governmental facilities</w:t>
      </w:r>
      <w:r>
        <w:rPr>
          <w:rFonts w:eastAsiaTheme="minorEastAsia"/>
        </w:rPr>
        <w:t xml:space="preserve"> in their care quality throughout the 2013-2017 period.</w:t>
      </w:r>
    </w:p>
    <w:p w14:paraId="2197E53D" w14:textId="77777777" w:rsidR="007E78CC" w:rsidRDefault="007E78CC" w:rsidP="00366750">
      <w:pPr>
        <w:spacing w:line="360" w:lineRule="auto"/>
        <w:ind w:firstLine="630"/>
        <w:rPr>
          <w:rFonts w:eastAsiaTheme="minorEastAsia"/>
        </w:rPr>
      </w:pPr>
      <w:r>
        <w:rPr>
          <w:rFonts w:eastAsiaTheme="minorEastAsia"/>
        </w:rPr>
        <w:t xml:space="preserve">Occupancy rates among for-profit facilities also </w:t>
      </w:r>
      <w:r w:rsidR="00506E85">
        <w:rPr>
          <w:rFonts w:eastAsiaTheme="minorEastAsia"/>
        </w:rPr>
        <w:t xml:space="preserve">fell significantly below </w:t>
      </w:r>
      <w:r w:rsidR="00FC21DB">
        <w:rPr>
          <w:rFonts w:eastAsiaTheme="minorEastAsia"/>
        </w:rPr>
        <w:t xml:space="preserve">rates for </w:t>
      </w:r>
      <w:r>
        <w:rPr>
          <w:rFonts w:eastAsiaTheme="minorEastAsia"/>
        </w:rPr>
        <w:t xml:space="preserve">non-profit and governmental facilities. </w:t>
      </w:r>
      <w:r w:rsidR="00FC21DB">
        <w:rPr>
          <w:rFonts w:eastAsiaTheme="minorEastAsia"/>
        </w:rPr>
        <w:t xml:space="preserve"> </w:t>
      </w:r>
      <w:r>
        <w:rPr>
          <w:rFonts w:eastAsiaTheme="minorEastAsia"/>
        </w:rPr>
        <w:t>For-profits facilities were no better at attracting residents in the nursing home market after the implementation of VBR</w:t>
      </w:r>
      <w:r w:rsidR="00506E85">
        <w:rPr>
          <w:rFonts w:eastAsiaTheme="minorEastAsia"/>
        </w:rPr>
        <w:t xml:space="preserve">. In </w:t>
      </w:r>
      <w:r>
        <w:rPr>
          <w:rFonts w:eastAsiaTheme="minorEastAsia"/>
        </w:rPr>
        <w:t xml:space="preserve">fact, they trended downward in occupancy </w:t>
      </w:r>
      <w:r w:rsidR="00506E85">
        <w:rPr>
          <w:rFonts w:eastAsiaTheme="minorEastAsia"/>
        </w:rPr>
        <w:t xml:space="preserve">after VBR, </w:t>
      </w:r>
      <w:r>
        <w:rPr>
          <w:rFonts w:eastAsiaTheme="minorEastAsia"/>
        </w:rPr>
        <w:t>widening the gap between themselves and the non-profits and governmental facil</w:t>
      </w:r>
      <w:r w:rsidR="00FC21DB">
        <w:rPr>
          <w:rFonts w:eastAsiaTheme="minorEastAsia"/>
        </w:rPr>
        <w:t>i</w:t>
      </w:r>
      <w:r>
        <w:rPr>
          <w:rFonts w:eastAsiaTheme="minorEastAsia"/>
        </w:rPr>
        <w:t>ties.</w:t>
      </w:r>
    </w:p>
    <w:p w14:paraId="5B420DE1" w14:textId="5DA3F76F" w:rsidR="009C1233" w:rsidRPr="002920B8" w:rsidRDefault="00F506BC" w:rsidP="000A7C32">
      <w:pPr>
        <w:spacing w:line="360" w:lineRule="auto"/>
        <w:ind w:firstLine="630"/>
        <w:rPr>
          <w:rFonts w:eastAsiaTheme="minorEastAsia"/>
          <w:b/>
          <w:bCs/>
        </w:rPr>
      </w:pPr>
      <w:r>
        <w:rPr>
          <w:rFonts w:eastAsiaTheme="minorEastAsia"/>
        </w:rPr>
        <w:t>Our study had several l</w:t>
      </w:r>
      <w:r w:rsidR="00FE3A3A">
        <w:rPr>
          <w:rFonts w:eastAsiaTheme="minorEastAsia"/>
        </w:rPr>
        <w:t>imitations</w:t>
      </w:r>
      <w:r>
        <w:rPr>
          <w:rFonts w:eastAsiaTheme="minorEastAsia"/>
        </w:rPr>
        <w:t>.  First, findings may not be generalizable to other states.  Minnesota is noted for its high quality of long-term supports and services</w:t>
      </w:r>
      <w:r w:rsidR="007F5C13">
        <w:rPr>
          <w:rFonts w:eastAsiaTheme="minorEastAsia"/>
        </w:rPr>
        <w:t xml:space="preserve">. For example, it has ranked near the top </w:t>
      </w:r>
      <w:r>
        <w:rPr>
          <w:rFonts w:eastAsiaTheme="minorEastAsia"/>
        </w:rPr>
        <w:t xml:space="preserve">each year in </w:t>
      </w:r>
      <w:r w:rsidR="007F5C13">
        <w:rPr>
          <w:rFonts w:eastAsiaTheme="minorEastAsia"/>
        </w:rPr>
        <w:t xml:space="preserve">AARP’s ranking of state support for long-term care.  It also has a much higher percentage of non-profit facilities </w:t>
      </w:r>
      <w:r w:rsidR="009A05CB">
        <w:rPr>
          <w:rFonts w:eastAsiaTheme="minorEastAsia"/>
        </w:rPr>
        <w:t xml:space="preserve">(61% vs. 24%) </w:t>
      </w:r>
      <w:r w:rsidR="007F5C13">
        <w:rPr>
          <w:rFonts w:eastAsiaTheme="minorEastAsia"/>
        </w:rPr>
        <w:t xml:space="preserve">and </w:t>
      </w:r>
      <w:r w:rsidR="009A05CB">
        <w:rPr>
          <w:rFonts w:eastAsiaTheme="minorEastAsia"/>
        </w:rPr>
        <w:t xml:space="preserve">a </w:t>
      </w:r>
      <w:r w:rsidR="007F5C13">
        <w:rPr>
          <w:rFonts w:eastAsiaTheme="minorEastAsia"/>
        </w:rPr>
        <w:t xml:space="preserve">lower percentage of for-profit facilities </w:t>
      </w:r>
      <w:r w:rsidR="009A05CB">
        <w:rPr>
          <w:rFonts w:eastAsiaTheme="minorEastAsia"/>
        </w:rPr>
        <w:t xml:space="preserve">(29% vs. 70%) </w:t>
      </w:r>
      <w:r w:rsidR="007F5C13">
        <w:rPr>
          <w:rFonts w:eastAsiaTheme="minorEastAsia"/>
        </w:rPr>
        <w:t>than the national averages.  Second, the before and after observational</w:t>
      </w:r>
      <w:r w:rsidR="00FE3A3A">
        <w:rPr>
          <w:rFonts w:eastAsiaTheme="minorEastAsia"/>
        </w:rPr>
        <w:t xml:space="preserve"> study</w:t>
      </w:r>
      <w:r w:rsidR="007F5C13">
        <w:rPr>
          <w:rFonts w:eastAsiaTheme="minorEastAsia"/>
        </w:rPr>
        <w:t xml:space="preserve"> design</w:t>
      </w:r>
      <w:r w:rsidR="000A7C32">
        <w:rPr>
          <w:rFonts w:eastAsiaTheme="minorEastAsia"/>
        </w:rPr>
        <w:t xml:space="preserve"> limits our ability to draw conclusions about causality.  Third, the quality incentive ended up being relatively w</w:t>
      </w:r>
      <w:r w:rsidR="00FE3A3A">
        <w:rPr>
          <w:rFonts w:eastAsiaTheme="minorEastAsia"/>
        </w:rPr>
        <w:t>eak quality</w:t>
      </w:r>
      <w:r w:rsidR="000A7C32">
        <w:rPr>
          <w:rFonts w:eastAsiaTheme="minorEastAsia"/>
        </w:rPr>
        <w:t xml:space="preserve">.  The </w:t>
      </w:r>
      <w:r w:rsidR="00E80E5D">
        <w:rPr>
          <w:rFonts w:eastAsiaTheme="minorEastAsia"/>
        </w:rPr>
        <w:t xml:space="preserve">quality-based </w:t>
      </w:r>
      <w:r w:rsidR="000A7C32">
        <w:rPr>
          <w:rFonts w:eastAsiaTheme="minorEastAsia"/>
        </w:rPr>
        <w:t>reimbursement</w:t>
      </w:r>
      <w:r w:rsidR="00E80E5D">
        <w:rPr>
          <w:rFonts w:eastAsiaTheme="minorEastAsia"/>
        </w:rPr>
        <w:t xml:space="preserve"> </w:t>
      </w:r>
      <w:r w:rsidR="000A7C32">
        <w:rPr>
          <w:rFonts w:eastAsiaTheme="minorEastAsia"/>
        </w:rPr>
        <w:t xml:space="preserve">limits were set so high that very few facilities were affected; nearly all facilities ended up receiving their full care related rate.  In the first year of VBR (2016), facilities did not know their rates in advance so the weak incentive probably did not have an effect.  However, in 2017 they </w:t>
      </w:r>
      <w:r w:rsidR="000A7C32">
        <w:rPr>
          <w:rFonts w:eastAsiaTheme="minorEastAsia"/>
        </w:rPr>
        <w:lastRenderedPageBreak/>
        <w:t xml:space="preserve">would have been aware of the rate setting process and could have backed off their efforts to improve quality.  Finally, </w:t>
      </w:r>
      <w:r w:rsidR="00342758">
        <w:rPr>
          <w:rFonts w:eastAsiaTheme="minorEastAsia"/>
        </w:rPr>
        <w:t>the failure to achieve a significant jump in quality scores may be indicative of the d</w:t>
      </w:r>
      <w:r w:rsidR="009C1233">
        <w:rPr>
          <w:rFonts w:eastAsiaTheme="minorEastAsia"/>
        </w:rPr>
        <w:t>ifficulty of making major changes in care quality</w:t>
      </w:r>
      <w:r w:rsidR="00342758">
        <w:rPr>
          <w:rFonts w:eastAsiaTheme="minorEastAsia"/>
        </w:rPr>
        <w:t xml:space="preserve">.  The VBR quality score is very comprehensive, covering 21 clinical quality indicators, a multidimensional resident quality of life scale, and a range of regulatory findings.  </w:t>
      </w:r>
      <w:r w:rsidR="00342758">
        <w:rPr>
          <w:rFonts w:eastAsiaTheme="minorEastAsia"/>
        </w:rPr>
        <w:t>Moving the needle on care quality requi</w:t>
      </w:r>
      <w:bookmarkStart w:id="0" w:name="_GoBack"/>
      <w:bookmarkEnd w:id="0"/>
      <w:r w:rsidR="00342758">
        <w:rPr>
          <w:rFonts w:eastAsiaTheme="minorEastAsia"/>
        </w:rPr>
        <w:t>res making improvements across multiple dimensions.  In cont</w:t>
      </w:r>
      <w:r w:rsidR="002920B8">
        <w:rPr>
          <w:rFonts w:eastAsiaTheme="minorEastAsia"/>
        </w:rPr>
        <w:t xml:space="preserve">rast, facilities probably found it relatively easy to </w:t>
      </w:r>
      <w:r w:rsidR="00C6584E">
        <w:rPr>
          <w:rFonts w:eastAsiaTheme="minorEastAsia"/>
        </w:rPr>
        <w:t xml:space="preserve">increase </w:t>
      </w:r>
      <w:r w:rsidR="00342758">
        <w:rPr>
          <w:rFonts w:eastAsiaTheme="minorEastAsia"/>
        </w:rPr>
        <w:t xml:space="preserve">care-related </w:t>
      </w:r>
      <w:r w:rsidR="002920B8">
        <w:rPr>
          <w:rFonts w:eastAsiaTheme="minorEastAsia"/>
        </w:rPr>
        <w:t xml:space="preserve">expenditures </w:t>
      </w:r>
      <w:r w:rsidR="002920B8">
        <w:rPr>
          <w:rFonts w:eastAsiaTheme="minorEastAsia"/>
        </w:rPr>
        <w:t>after receiving a major increase in revenue.  Effectively deploying these resources for quality improvements could have been challenging.</w:t>
      </w:r>
    </w:p>
    <w:p w14:paraId="101B5DD6" w14:textId="77777777" w:rsidR="00FE3A3A" w:rsidRDefault="00FE3A3A" w:rsidP="00FE3A3A">
      <w:pPr>
        <w:spacing w:line="360" w:lineRule="auto"/>
        <w:rPr>
          <w:rFonts w:eastAsiaTheme="minorEastAsia"/>
        </w:rPr>
      </w:pPr>
    </w:p>
    <w:p w14:paraId="04EBA034" w14:textId="77777777" w:rsidR="00FE3A3A" w:rsidRPr="00FE3A3A" w:rsidRDefault="00FE3A3A" w:rsidP="00FE3A3A">
      <w:pPr>
        <w:spacing w:line="360" w:lineRule="auto"/>
        <w:rPr>
          <w:rFonts w:eastAsiaTheme="minorEastAsia"/>
          <w:b/>
          <w:bCs/>
        </w:rPr>
      </w:pPr>
      <w:r w:rsidRPr="00FE3A3A">
        <w:rPr>
          <w:rFonts w:eastAsiaTheme="minorEastAsia"/>
          <w:b/>
          <w:bCs/>
        </w:rPr>
        <w:t>Conclusion</w:t>
      </w:r>
    </w:p>
    <w:p w14:paraId="5E6DACFA" w14:textId="77777777" w:rsidR="00FE3A3A" w:rsidRDefault="00FE3A3A" w:rsidP="00FE3A3A">
      <w:pPr>
        <w:spacing w:line="360" w:lineRule="auto"/>
        <w:ind w:firstLine="630"/>
        <w:rPr>
          <w:rFonts w:eastAsiaTheme="minorEastAsia"/>
        </w:rPr>
      </w:pPr>
      <w:r>
        <w:rPr>
          <w:rFonts w:eastAsiaTheme="minorEastAsia"/>
        </w:rPr>
        <w:t xml:space="preserve">Our evaluation found no evidence that for-profit facilities were more responsive to the VBR system than the other ownership types.  Compared to for-profits, non-profit and governmental facilities continued to spend more on nursing and other care related services, deliver higher quality of care, and be </w:t>
      </w:r>
      <w:r w:rsidR="00FA75EC">
        <w:rPr>
          <w:rFonts w:eastAsiaTheme="minorEastAsia"/>
        </w:rPr>
        <w:t xml:space="preserve">more </w:t>
      </w:r>
      <w:r>
        <w:rPr>
          <w:rFonts w:eastAsiaTheme="minorEastAsia"/>
        </w:rPr>
        <w:t xml:space="preserve">attractive to consumers as evidenced by their </w:t>
      </w:r>
      <w:r w:rsidR="00FA75EC">
        <w:rPr>
          <w:rFonts w:eastAsiaTheme="minorEastAsia"/>
        </w:rPr>
        <w:t xml:space="preserve">consistently </w:t>
      </w:r>
      <w:r>
        <w:rPr>
          <w:rFonts w:eastAsiaTheme="minorEastAsia"/>
        </w:rPr>
        <w:t>higher occupancy rates.</w:t>
      </w:r>
    </w:p>
    <w:p w14:paraId="3091D49A" w14:textId="77777777" w:rsidR="00FE3A3A" w:rsidRPr="00954F94" w:rsidRDefault="00FE3A3A" w:rsidP="00FE3A3A">
      <w:pPr>
        <w:spacing w:line="360" w:lineRule="auto"/>
        <w:rPr>
          <w:rFonts w:eastAsiaTheme="minorEastAsia"/>
        </w:rPr>
      </w:pPr>
    </w:p>
    <w:p w14:paraId="6595F35B" w14:textId="77777777" w:rsidR="009748ED" w:rsidRDefault="009748ED" w:rsidP="009748ED">
      <w:pPr>
        <w:spacing w:line="360" w:lineRule="auto"/>
        <w:textAlignment w:val="baseline"/>
        <w:rPr>
          <w:rFonts w:eastAsia="Times New Roman" w:cstheme="minorHAnsi"/>
          <w:color w:val="000000"/>
        </w:rPr>
      </w:pPr>
    </w:p>
    <w:p w14:paraId="44A5DAFA" w14:textId="77777777" w:rsidR="00044463" w:rsidRDefault="00044463" w:rsidP="00044463">
      <w:pPr>
        <w:rPr>
          <w:rFonts w:eastAsia="Times New Roman" w:cstheme="minorHAnsi"/>
          <w:color w:val="000000"/>
        </w:rPr>
        <w:sectPr w:rsidR="00044463" w:rsidSect="00CB5E12">
          <w:footerReference w:type="even" r:id="rId8"/>
          <w:footerReference w:type="default" r:id="rId9"/>
          <w:pgSz w:w="12240" w:h="15840"/>
          <w:pgMar w:top="1440" w:right="1440" w:bottom="1440" w:left="1440" w:header="720" w:footer="720" w:gutter="0"/>
          <w:cols w:space="720"/>
          <w:docGrid w:linePitch="360"/>
        </w:sectPr>
      </w:pPr>
    </w:p>
    <w:p w14:paraId="29CE7865" w14:textId="77777777" w:rsidR="00273DA4" w:rsidRPr="000A1558" w:rsidRDefault="00273DA4" w:rsidP="00273DA4">
      <w:pPr>
        <w:tabs>
          <w:tab w:val="left" w:pos="2413"/>
          <w:tab w:val="left" w:pos="3824"/>
          <w:tab w:val="left" w:pos="5235"/>
          <w:tab w:val="left" w:pos="6646"/>
          <w:tab w:val="left" w:pos="8057"/>
        </w:tabs>
        <w:spacing w:after="120"/>
        <w:ind w:left="115"/>
        <w:rPr>
          <w:rFonts w:eastAsia="Times New Roman" w:cstheme="minorHAnsi"/>
          <w:color w:val="000000"/>
          <w:sz w:val="22"/>
          <w:szCs w:val="22"/>
        </w:rPr>
      </w:pPr>
      <w:r w:rsidRPr="000A1558">
        <w:rPr>
          <w:rFonts w:eastAsia="Times New Roman" w:cstheme="minorHAnsi"/>
          <w:sz w:val="22"/>
          <w:szCs w:val="22"/>
        </w:rPr>
        <w:lastRenderedPageBreak/>
        <w:t>Table 1.  Characteristics of Nursing Facilities by Year (N=358)</w:t>
      </w:r>
    </w:p>
    <w:tbl>
      <w:tblPr>
        <w:tblW w:w="5066" w:type="pct"/>
        <w:tblLayout w:type="fixed"/>
        <w:tblLook w:val="04A0" w:firstRow="1" w:lastRow="0" w:firstColumn="1" w:lastColumn="0" w:noHBand="0" w:noVBand="1"/>
      </w:tblPr>
      <w:tblGrid>
        <w:gridCol w:w="2431"/>
        <w:gridCol w:w="1411"/>
        <w:gridCol w:w="1411"/>
        <w:gridCol w:w="1411"/>
        <w:gridCol w:w="1411"/>
        <w:gridCol w:w="1409"/>
      </w:tblGrid>
      <w:tr w:rsidR="00273DA4" w:rsidRPr="000A1558" w14:paraId="3C4F81CE" w14:textId="77777777" w:rsidTr="002B78A0">
        <w:trPr>
          <w:trHeight w:val="320"/>
        </w:trPr>
        <w:tc>
          <w:tcPr>
            <w:tcW w:w="1281" w:type="pct"/>
            <w:tcBorders>
              <w:top w:val="single" w:sz="4" w:space="0" w:color="auto"/>
              <w:left w:val="nil"/>
              <w:bottom w:val="nil"/>
              <w:right w:val="nil"/>
            </w:tcBorders>
            <w:shd w:val="clear" w:color="auto" w:fill="auto"/>
            <w:noWrap/>
            <w:vAlign w:val="bottom"/>
            <w:hideMark/>
          </w:tcPr>
          <w:p w14:paraId="70ED90C8" w14:textId="77777777" w:rsidR="00273DA4" w:rsidRPr="000A1558" w:rsidRDefault="00273DA4" w:rsidP="000D29C2">
            <w:pPr>
              <w:jc w:val="right"/>
              <w:rPr>
                <w:rFonts w:eastAsia="Times New Roman" w:cstheme="minorHAnsi"/>
                <w:sz w:val="22"/>
                <w:szCs w:val="22"/>
              </w:rPr>
            </w:pPr>
          </w:p>
        </w:tc>
        <w:tc>
          <w:tcPr>
            <w:tcW w:w="744" w:type="pct"/>
            <w:tcBorders>
              <w:top w:val="single" w:sz="4" w:space="0" w:color="auto"/>
              <w:left w:val="nil"/>
              <w:bottom w:val="nil"/>
              <w:right w:val="nil"/>
            </w:tcBorders>
            <w:shd w:val="clear" w:color="auto" w:fill="auto"/>
            <w:noWrap/>
            <w:vAlign w:val="bottom"/>
            <w:hideMark/>
          </w:tcPr>
          <w:p w14:paraId="64D83D8B"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2013</w:t>
            </w:r>
          </w:p>
        </w:tc>
        <w:tc>
          <w:tcPr>
            <w:tcW w:w="744" w:type="pct"/>
            <w:tcBorders>
              <w:top w:val="single" w:sz="4" w:space="0" w:color="auto"/>
              <w:left w:val="nil"/>
              <w:bottom w:val="nil"/>
              <w:right w:val="nil"/>
            </w:tcBorders>
            <w:shd w:val="clear" w:color="auto" w:fill="auto"/>
            <w:noWrap/>
            <w:vAlign w:val="bottom"/>
            <w:hideMark/>
          </w:tcPr>
          <w:p w14:paraId="56BDE51F"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2014</w:t>
            </w:r>
          </w:p>
        </w:tc>
        <w:tc>
          <w:tcPr>
            <w:tcW w:w="744" w:type="pct"/>
            <w:tcBorders>
              <w:top w:val="single" w:sz="4" w:space="0" w:color="auto"/>
              <w:left w:val="nil"/>
              <w:bottom w:val="nil"/>
              <w:right w:val="nil"/>
            </w:tcBorders>
            <w:shd w:val="clear" w:color="auto" w:fill="auto"/>
            <w:noWrap/>
            <w:vAlign w:val="bottom"/>
            <w:hideMark/>
          </w:tcPr>
          <w:p w14:paraId="4E0BB81E"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2015</w:t>
            </w:r>
          </w:p>
        </w:tc>
        <w:tc>
          <w:tcPr>
            <w:tcW w:w="744" w:type="pct"/>
            <w:tcBorders>
              <w:top w:val="single" w:sz="4" w:space="0" w:color="auto"/>
              <w:left w:val="nil"/>
              <w:bottom w:val="nil"/>
              <w:right w:val="nil"/>
            </w:tcBorders>
            <w:shd w:val="clear" w:color="auto" w:fill="auto"/>
            <w:noWrap/>
            <w:vAlign w:val="bottom"/>
            <w:hideMark/>
          </w:tcPr>
          <w:p w14:paraId="32A33948"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2016</w:t>
            </w:r>
          </w:p>
        </w:tc>
        <w:tc>
          <w:tcPr>
            <w:tcW w:w="743" w:type="pct"/>
            <w:tcBorders>
              <w:top w:val="single" w:sz="4" w:space="0" w:color="auto"/>
              <w:left w:val="nil"/>
              <w:bottom w:val="nil"/>
              <w:right w:val="nil"/>
            </w:tcBorders>
            <w:shd w:val="clear" w:color="auto" w:fill="auto"/>
            <w:noWrap/>
            <w:vAlign w:val="bottom"/>
            <w:hideMark/>
          </w:tcPr>
          <w:p w14:paraId="3AD94597"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2017</w:t>
            </w:r>
          </w:p>
        </w:tc>
      </w:tr>
      <w:tr w:rsidR="00273DA4" w:rsidRPr="000A1558" w14:paraId="6DC6B0FE" w14:textId="77777777" w:rsidTr="002B78A0">
        <w:trPr>
          <w:trHeight w:val="320"/>
        </w:trPr>
        <w:tc>
          <w:tcPr>
            <w:tcW w:w="1281" w:type="pct"/>
            <w:tcBorders>
              <w:top w:val="nil"/>
              <w:left w:val="nil"/>
              <w:bottom w:val="single" w:sz="4" w:space="0" w:color="auto"/>
              <w:right w:val="nil"/>
            </w:tcBorders>
            <w:shd w:val="clear" w:color="auto" w:fill="auto"/>
            <w:noWrap/>
            <w:vAlign w:val="bottom"/>
            <w:hideMark/>
          </w:tcPr>
          <w:p w14:paraId="51338E68" w14:textId="77777777" w:rsidR="00273DA4" w:rsidRPr="000A1558" w:rsidRDefault="00273DA4" w:rsidP="000D29C2">
            <w:pPr>
              <w:jc w:val="right"/>
              <w:rPr>
                <w:rFonts w:eastAsia="Times New Roman" w:cstheme="minorHAnsi"/>
                <w:color w:val="000000"/>
                <w:sz w:val="22"/>
                <w:szCs w:val="22"/>
              </w:rPr>
            </w:pPr>
          </w:p>
        </w:tc>
        <w:tc>
          <w:tcPr>
            <w:tcW w:w="744" w:type="pct"/>
            <w:tcBorders>
              <w:top w:val="nil"/>
              <w:left w:val="nil"/>
              <w:bottom w:val="single" w:sz="4" w:space="0" w:color="auto"/>
              <w:right w:val="nil"/>
            </w:tcBorders>
            <w:shd w:val="clear" w:color="auto" w:fill="auto"/>
            <w:noWrap/>
            <w:vAlign w:val="bottom"/>
            <w:hideMark/>
          </w:tcPr>
          <w:p w14:paraId="41EB0C10"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 or Mean [SD]</w:t>
            </w:r>
          </w:p>
        </w:tc>
        <w:tc>
          <w:tcPr>
            <w:tcW w:w="744" w:type="pct"/>
            <w:tcBorders>
              <w:top w:val="nil"/>
              <w:left w:val="nil"/>
              <w:bottom w:val="single" w:sz="4" w:space="0" w:color="auto"/>
              <w:right w:val="nil"/>
            </w:tcBorders>
            <w:shd w:val="clear" w:color="auto" w:fill="auto"/>
            <w:noWrap/>
            <w:vAlign w:val="bottom"/>
            <w:hideMark/>
          </w:tcPr>
          <w:p w14:paraId="713AAB4F"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 or Mean [SD]</w:t>
            </w:r>
          </w:p>
        </w:tc>
        <w:tc>
          <w:tcPr>
            <w:tcW w:w="744" w:type="pct"/>
            <w:tcBorders>
              <w:top w:val="nil"/>
              <w:left w:val="nil"/>
              <w:bottom w:val="single" w:sz="4" w:space="0" w:color="auto"/>
              <w:right w:val="nil"/>
            </w:tcBorders>
            <w:shd w:val="clear" w:color="auto" w:fill="auto"/>
            <w:noWrap/>
            <w:vAlign w:val="bottom"/>
            <w:hideMark/>
          </w:tcPr>
          <w:p w14:paraId="72CAEC4F"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 or Mean [SD]</w:t>
            </w:r>
          </w:p>
        </w:tc>
        <w:tc>
          <w:tcPr>
            <w:tcW w:w="744" w:type="pct"/>
            <w:tcBorders>
              <w:top w:val="nil"/>
              <w:left w:val="nil"/>
              <w:bottom w:val="single" w:sz="4" w:space="0" w:color="auto"/>
              <w:right w:val="nil"/>
            </w:tcBorders>
            <w:shd w:val="clear" w:color="auto" w:fill="auto"/>
            <w:noWrap/>
            <w:vAlign w:val="bottom"/>
            <w:hideMark/>
          </w:tcPr>
          <w:p w14:paraId="6DD88137"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 or Mean [SD]</w:t>
            </w:r>
          </w:p>
        </w:tc>
        <w:tc>
          <w:tcPr>
            <w:tcW w:w="743" w:type="pct"/>
            <w:tcBorders>
              <w:top w:val="nil"/>
              <w:left w:val="nil"/>
              <w:bottom w:val="single" w:sz="4" w:space="0" w:color="auto"/>
              <w:right w:val="nil"/>
            </w:tcBorders>
            <w:shd w:val="clear" w:color="auto" w:fill="auto"/>
            <w:noWrap/>
            <w:vAlign w:val="bottom"/>
            <w:hideMark/>
          </w:tcPr>
          <w:p w14:paraId="25E21830" w14:textId="77777777" w:rsidR="00273DA4" w:rsidRPr="000A1558" w:rsidRDefault="00273DA4" w:rsidP="000D29C2">
            <w:pPr>
              <w:jc w:val="right"/>
              <w:rPr>
                <w:rFonts w:eastAsia="Times New Roman" w:cstheme="minorHAnsi"/>
                <w:color w:val="000000"/>
                <w:sz w:val="22"/>
                <w:szCs w:val="22"/>
              </w:rPr>
            </w:pPr>
            <w:r w:rsidRPr="000A1558">
              <w:rPr>
                <w:rFonts w:eastAsia="Times New Roman" w:cstheme="minorHAnsi"/>
                <w:color w:val="000000"/>
                <w:sz w:val="22"/>
                <w:szCs w:val="22"/>
              </w:rPr>
              <w:t>% or Mean [SD]</w:t>
            </w:r>
          </w:p>
        </w:tc>
      </w:tr>
      <w:tr w:rsidR="00273DA4" w:rsidRPr="000A1558" w14:paraId="4080870C" w14:textId="77777777" w:rsidTr="002B78A0">
        <w:trPr>
          <w:trHeight w:val="320"/>
        </w:trPr>
        <w:tc>
          <w:tcPr>
            <w:tcW w:w="1281" w:type="pct"/>
            <w:tcBorders>
              <w:top w:val="single" w:sz="4" w:space="0" w:color="auto"/>
              <w:left w:val="nil"/>
              <w:bottom w:val="nil"/>
              <w:right w:val="nil"/>
            </w:tcBorders>
            <w:shd w:val="clear" w:color="auto" w:fill="auto"/>
            <w:noWrap/>
            <w:vAlign w:val="bottom"/>
            <w:hideMark/>
          </w:tcPr>
          <w:p w14:paraId="7A80EC04" w14:textId="77777777" w:rsidR="00273DA4" w:rsidRPr="000A1558" w:rsidRDefault="00B4220C" w:rsidP="00273DA4">
            <w:pPr>
              <w:rPr>
                <w:rFonts w:eastAsia="Times New Roman" w:cstheme="minorHAnsi"/>
                <w:color w:val="000000"/>
                <w:sz w:val="22"/>
                <w:szCs w:val="22"/>
              </w:rPr>
            </w:pPr>
            <w:r>
              <w:rPr>
                <w:rFonts w:eastAsia="Times New Roman" w:cstheme="minorHAnsi"/>
                <w:color w:val="000000"/>
                <w:sz w:val="22"/>
                <w:szCs w:val="22"/>
              </w:rPr>
              <w:t>For-profit</w:t>
            </w:r>
          </w:p>
        </w:tc>
        <w:tc>
          <w:tcPr>
            <w:tcW w:w="744" w:type="pct"/>
            <w:tcBorders>
              <w:top w:val="single" w:sz="4" w:space="0" w:color="auto"/>
              <w:left w:val="nil"/>
              <w:bottom w:val="nil"/>
              <w:right w:val="nil"/>
            </w:tcBorders>
            <w:shd w:val="clear" w:color="auto" w:fill="auto"/>
            <w:noWrap/>
            <w:vAlign w:val="bottom"/>
            <w:hideMark/>
          </w:tcPr>
          <w:p w14:paraId="3EEB5D7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29%</w:t>
            </w:r>
          </w:p>
        </w:tc>
        <w:tc>
          <w:tcPr>
            <w:tcW w:w="744" w:type="pct"/>
            <w:tcBorders>
              <w:top w:val="single" w:sz="4" w:space="0" w:color="auto"/>
              <w:left w:val="nil"/>
              <w:bottom w:val="nil"/>
              <w:right w:val="nil"/>
            </w:tcBorders>
            <w:shd w:val="clear" w:color="auto" w:fill="auto"/>
            <w:noWrap/>
            <w:vAlign w:val="bottom"/>
            <w:hideMark/>
          </w:tcPr>
          <w:p w14:paraId="666CD25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29%</w:t>
            </w:r>
          </w:p>
        </w:tc>
        <w:tc>
          <w:tcPr>
            <w:tcW w:w="744" w:type="pct"/>
            <w:tcBorders>
              <w:top w:val="single" w:sz="4" w:space="0" w:color="auto"/>
              <w:left w:val="nil"/>
              <w:bottom w:val="nil"/>
              <w:right w:val="nil"/>
            </w:tcBorders>
            <w:shd w:val="clear" w:color="auto" w:fill="auto"/>
            <w:noWrap/>
            <w:vAlign w:val="bottom"/>
            <w:hideMark/>
          </w:tcPr>
          <w:p w14:paraId="77CDBA47"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29%</w:t>
            </w:r>
          </w:p>
        </w:tc>
        <w:tc>
          <w:tcPr>
            <w:tcW w:w="744" w:type="pct"/>
            <w:tcBorders>
              <w:top w:val="single" w:sz="4" w:space="0" w:color="auto"/>
              <w:left w:val="nil"/>
              <w:bottom w:val="nil"/>
              <w:right w:val="nil"/>
            </w:tcBorders>
            <w:shd w:val="clear" w:color="auto" w:fill="auto"/>
            <w:noWrap/>
            <w:vAlign w:val="bottom"/>
            <w:hideMark/>
          </w:tcPr>
          <w:p w14:paraId="2A7026D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30%</w:t>
            </w:r>
          </w:p>
        </w:tc>
        <w:tc>
          <w:tcPr>
            <w:tcW w:w="743" w:type="pct"/>
            <w:tcBorders>
              <w:top w:val="single" w:sz="4" w:space="0" w:color="auto"/>
              <w:left w:val="nil"/>
              <w:bottom w:val="nil"/>
              <w:right w:val="nil"/>
            </w:tcBorders>
            <w:shd w:val="clear" w:color="auto" w:fill="auto"/>
            <w:noWrap/>
            <w:vAlign w:val="bottom"/>
            <w:hideMark/>
          </w:tcPr>
          <w:p w14:paraId="2B8FA38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32%</w:t>
            </w:r>
          </w:p>
        </w:tc>
      </w:tr>
      <w:tr w:rsidR="00273DA4" w:rsidRPr="000A1558" w14:paraId="6C1AA7F3" w14:textId="77777777" w:rsidTr="002B78A0">
        <w:trPr>
          <w:trHeight w:val="320"/>
        </w:trPr>
        <w:tc>
          <w:tcPr>
            <w:tcW w:w="1281" w:type="pct"/>
            <w:tcBorders>
              <w:top w:val="nil"/>
              <w:left w:val="nil"/>
              <w:bottom w:val="nil"/>
              <w:right w:val="nil"/>
            </w:tcBorders>
            <w:shd w:val="clear" w:color="auto" w:fill="auto"/>
            <w:noWrap/>
            <w:vAlign w:val="bottom"/>
            <w:hideMark/>
          </w:tcPr>
          <w:p w14:paraId="1DC9A284"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Government</w:t>
            </w:r>
          </w:p>
        </w:tc>
        <w:tc>
          <w:tcPr>
            <w:tcW w:w="744" w:type="pct"/>
            <w:tcBorders>
              <w:top w:val="nil"/>
              <w:left w:val="nil"/>
              <w:bottom w:val="nil"/>
              <w:right w:val="nil"/>
            </w:tcBorders>
            <w:shd w:val="clear" w:color="auto" w:fill="auto"/>
            <w:noWrap/>
            <w:vAlign w:val="bottom"/>
            <w:hideMark/>
          </w:tcPr>
          <w:p w14:paraId="5B6C5C8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w:t>
            </w:r>
          </w:p>
        </w:tc>
        <w:tc>
          <w:tcPr>
            <w:tcW w:w="744" w:type="pct"/>
            <w:tcBorders>
              <w:top w:val="nil"/>
              <w:left w:val="nil"/>
              <w:bottom w:val="nil"/>
              <w:right w:val="nil"/>
            </w:tcBorders>
            <w:shd w:val="clear" w:color="auto" w:fill="auto"/>
            <w:noWrap/>
            <w:vAlign w:val="bottom"/>
            <w:hideMark/>
          </w:tcPr>
          <w:p w14:paraId="6727425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w:t>
            </w:r>
          </w:p>
        </w:tc>
        <w:tc>
          <w:tcPr>
            <w:tcW w:w="744" w:type="pct"/>
            <w:tcBorders>
              <w:top w:val="nil"/>
              <w:left w:val="nil"/>
              <w:bottom w:val="nil"/>
              <w:right w:val="nil"/>
            </w:tcBorders>
            <w:shd w:val="clear" w:color="auto" w:fill="auto"/>
            <w:noWrap/>
            <w:vAlign w:val="bottom"/>
            <w:hideMark/>
          </w:tcPr>
          <w:p w14:paraId="682921DA"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w:t>
            </w:r>
          </w:p>
        </w:tc>
        <w:tc>
          <w:tcPr>
            <w:tcW w:w="744" w:type="pct"/>
            <w:tcBorders>
              <w:top w:val="nil"/>
              <w:left w:val="nil"/>
              <w:bottom w:val="nil"/>
              <w:right w:val="nil"/>
            </w:tcBorders>
            <w:shd w:val="clear" w:color="auto" w:fill="auto"/>
            <w:noWrap/>
            <w:vAlign w:val="bottom"/>
            <w:hideMark/>
          </w:tcPr>
          <w:p w14:paraId="0D049A0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9%</w:t>
            </w:r>
          </w:p>
        </w:tc>
        <w:tc>
          <w:tcPr>
            <w:tcW w:w="743" w:type="pct"/>
            <w:tcBorders>
              <w:top w:val="nil"/>
              <w:left w:val="nil"/>
              <w:bottom w:val="nil"/>
              <w:right w:val="nil"/>
            </w:tcBorders>
            <w:shd w:val="clear" w:color="auto" w:fill="auto"/>
            <w:noWrap/>
            <w:vAlign w:val="bottom"/>
            <w:hideMark/>
          </w:tcPr>
          <w:p w14:paraId="04953B90"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9%</w:t>
            </w:r>
          </w:p>
        </w:tc>
      </w:tr>
      <w:tr w:rsidR="00273DA4" w:rsidRPr="000A1558" w14:paraId="2E02639C" w14:textId="77777777" w:rsidTr="002B78A0">
        <w:trPr>
          <w:trHeight w:val="320"/>
        </w:trPr>
        <w:tc>
          <w:tcPr>
            <w:tcW w:w="1281" w:type="pct"/>
            <w:tcBorders>
              <w:top w:val="nil"/>
              <w:left w:val="nil"/>
              <w:bottom w:val="nil"/>
              <w:right w:val="nil"/>
            </w:tcBorders>
            <w:shd w:val="clear" w:color="auto" w:fill="auto"/>
            <w:noWrap/>
            <w:vAlign w:val="bottom"/>
            <w:hideMark/>
          </w:tcPr>
          <w:p w14:paraId="55AA0EA9" w14:textId="77777777" w:rsidR="00273DA4" w:rsidRPr="000A1558" w:rsidRDefault="00B4220C" w:rsidP="00273DA4">
            <w:pPr>
              <w:rPr>
                <w:rFonts w:eastAsia="Times New Roman" w:cstheme="minorHAnsi"/>
                <w:color w:val="000000"/>
                <w:sz w:val="22"/>
                <w:szCs w:val="22"/>
              </w:rPr>
            </w:pPr>
            <w:r>
              <w:rPr>
                <w:rFonts w:eastAsia="Times New Roman" w:cstheme="minorHAnsi"/>
                <w:color w:val="000000"/>
                <w:sz w:val="22"/>
                <w:szCs w:val="22"/>
              </w:rPr>
              <w:t>Non-profit</w:t>
            </w:r>
          </w:p>
        </w:tc>
        <w:tc>
          <w:tcPr>
            <w:tcW w:w="744" w:type="pct"/>
            <w:tcBorders>
              <w:top w:val="nil"/>
              <w:left w:val="nil"/>
              <w:bottom w:val="nil"/>
              <w:right w:val="nil"/>
            </w:tcBorders>
            <w:shd w:val="clear" w:color="auto" w:fill="auto"/>
            <w:noWrap/>
            <w:vAlign w:val="bottom"/>
            <w:hideMark/>
          </w:tcPr>
          <w:p w14:paraId="78014D1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4" w:type="pct"/>
            <w:tcBorders>
              <w:top w:val="nil"/>
              <w:left w:val="nil"/>
              <w:bottom w:val="nil"/>
              <w:right w:val="nil"/>
            </w:tcBorders>
            <w:shd w:val="clear" w:color="auto" w:fill="auto"/>
            <w:noWrap/>
            <w:vAlign w:val="bottom"/>
            <w:hideMark/>
          </w:tcPr>
          <w:p w14:paraId="64F8956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4" w:type="pct"/>
            <w:tcBorders>
              <w:top w:val="nil"/>
              <w:left w:val="nil"/>
              <w:bottom w:val="nil"/>
              <w:right w:val="nil"/>
            </w:tcBorders>
            <w:shd w:val="clear" w:color="auto" w:fill="auto"/>
            <w:noWrap/>
            <w:vAlign w:val="bottom"/>
            <w:hideMark/>
          </w:tcPr>
          <w:p w14:paraId="2F883CB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4" w:type="pct"/>
            <w:tcBorders>
              <w:top w:val="nil"/>
              <w:left w:val="nil"/>
              <w:bottom w:val="nil"/>
              <w:right w:val="nil"/>
            </w:tcBorders>
            <w:shd w:val="clear" w:color="auto" w:fill="auto"/>
            <w:noWrap/>
            <w:vAlign w:val="bottom"/>
            <w:hideMark/>
          </w:tcPr>
          <w:p w14:paraId="188D864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3" w:type="pct"/>
            <w:tcBorders>
              <w:top w:val="nil"/>
              <w:left w:val="nil"/>
              <w:bottom w:val="nil"/>
              <w:right w:val="nil"/>
            </w:tcBorders>
            <w:shd w:val="clear" w:color="auto" w:fill="auto"/>
            <w:noWrap/>
            <w:vAlign w:val="bottom"/>
            <w:hideMark/>
          </w:tcPr>
          <w:p w14:paraId="0865372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60%</w:t>
            </w:r>
          </w:p>
        </w:tc>
      </w:tr>
      <w:tr w:rsidR="00273DA4" w:rsidRPr="000A1558" w14:paraId="03B02254" w14:textId="77777777" w:rsidTr="002B78A0">
        <w:trPr>
          <w:trHeight w:val="320"/>
        </w:trPr>
        <w:tc>
          <w:tcPr>
            <w:tcW w:w="1281" w:type="pct"/>
            <w:tcBorders>
              <w:top w:val="nil"/>
              <w:left w:val="nil"/>
              <w:bottom w:val="nil"/>
              <w:right w:val="nil"/>
            </w:tcBorders>
            <w:shd w:val="clear" w:color="auto" w:fill="auto"/>
            <w:noWrap/>
            <w:vAlign w:val="bottom"/>
            <w:hideMark/>
          </w:tcPr>
          <w:p w14:paraId="2CB41C3C"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Hospital attached</w:t>
            </w:r>
          </w:p>
        </w:tc>
        <w:tc>
          <w:tcPr>
            <w:tcW w:w="744" w:type="pct"/>
            <w:tcBorders>
              <w:top w:val="nil"/>
              <w:left w:val="nil"/>
              <w:bottom w:val="nil"/>
              <w:right w:val="nil"/>
            </w:tcBorders>
            <w:shd w:val="clear" w:color="auto" w:fill="auto"/>
            <w:noWrap/>
            <w:vAlign w:val="bottom"/>
            <w:hideMark/>
          </w:tcPr>
          <w:p w14:paraId="14ABE4F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w:t>
            </w:r>
          </w:p>
        </w:tc>
        <w:tc>
          <w:tcPr>
            <w:tcW w:w="744" w:type="pct"/>
            <w:tcBorders>
              <w:top w:val="nil"/>
              <w:left w:val="nil"/>
              <w:bottom w:val="nil"/>
              <w:right w:val="nil"/>
            </w:tcBorders>
            <w:shd w:val="clear" w:color="auto" w:fill="auto"/>
            <w:noWrap/>
            <w:vAlign w:val="bottom"/>
            <w:hideMark/>
          </w:tcPr>
          <w:p w14:paraId="217CAAC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w:t>
            </w:r>
          </w:p>
        </w:tc>
        <w:tc>
          <w:tcPr>
            <w:tcW w:w="744" w:type="pct"/>
            <w:tcBorders>
              <w:top w:val="nil"/>
              <w:left w:val="nil"/>
              <w:bottom w:val="nil"/>
              <w:right w:val="nil"/>
            </w:tcBorders>
            <w:shd w:val="clear" w:color="auto" w:fill="auto"/>
            <w:noWrap/>
            <w:vAlign w:val="bottom"/>
            <w:hideMark/>
          </w:tcPr>
          <w:p w14:paraId="46B0919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w:t>
            </w:r>
          </w:p>
        </w:tc>
        <w:tc>
          <w:tcPr>
            <w:tcW w:w="744" w:type="pct"/>
            <w:tcBorders>
              <w:top w:val="nil"/>
              <w:left w:val="nil"/>
              <w:bottom w:val="nil"/>
              <w:right w:val="nil"/>
            </w:tcBorders>
            <w:shd w:val="clear" w:color="auto" w:fill="auto"/>
            <w:noWrap/>
            <w:vAlign w:val="bottom"/>
            <w:hideMark/>
          </w:tcPr>
          <w:p w14:paraId="7ECD82D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w:t>
            </w:r>
          </w:p>
        </w:tc>
        <w:tc>
          <w:tcPr>
            <w:tcW w:w="743" w:type="pct"/>
            <w:tcBorders>
              <w:top w:val="nil"/>
              <w:left w:val="nil"/>
              <w:bottom w:val="nil"/>
              <w:right w:val="nil"/>
            </w:tcBorders>
            <w:shd w:val="clear" w:color="auto" w:fill="auto"/>
            <w:noWrap/>
            <w:vAlign w:val="bottom"/>
            <w:hideMark/>
          </w:tcPr>
          <w:p w14:paraId="2D21C5D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w:t>
            </w:r>
          </w:p>
        </w:tc>
      </w:tr>
      <w:tr w:rsidR="00273DA4" w:rsidRPr="000A1558" w14:paraId="09B98A89" w14:textId="77777777" w:rsidTr="002B78A0">
        <w:trPr>
          <w:trHeight w:val="320"/>
        </w:trPr>
        <w:tc>
          <w:tcPr>
            <w:tcW w:w="1281" w:type="pct"/>
            <w:tcBorders>
              <w:top w:val="nil"/>
              <w:left w:val="nil"/>
              <w:bottom w:val="nil"/>
              <w:right w:val="nil"/>
            </w:tcBorders>
            <w:shd w:val="clear" w:color="auto" w:fill="auto"/>
            <w:noWrap/>
            <w:vAlign w:val="bottom"/>
            <w:hideMark/>
          </w:tcPr>
          <w:p w14:paraId="172193BC" w14:textId="77777777" w:rsidR="00273DA4" w:rsidRPr="000A1558" w:rsidRDefault="009748ED" w:rsidP="00273DA4">
            <w:pPr>
              <w:rPr>
                <w:rFonts w:eastAsia="Times New Roman" w:cstheme="minorHAnsi"/>
                <w:color w:val="000000"/>
                <w:sz w:val="22"/>
                <w:szCs w:val="22"/>
              </w:rPr>
            </w:pPr>
            <w:r w:rsidRPr="000A1558">
              <w:rPr>
                <w:rFonts w:eastAsia="Times New Roman" w:cstheme="minorHAnsi"/>
                <w:color w:val="000000"/>
                <w:sz w:val="22"/>
                <w:szCs w:val="22"/>
              </w:rPr>
              <w:t>Case-mix</w:t>
            </w:r>
          </w:p>
        </w:tc>
        <w:tc>
          <w:tcPr>
            <w:tcW w:w="744" w:type="pct"/>
            <w:tcBorders>
              <w:top w:val="nil"/>
              <w:left w:val="nil"/>
              <w:bottom w:val="nil"/>
              <w:right w:val="nil"/>
            </w:tcBorders>
            <w:shd w:val="clear" w:color="auto" w:fill="auto"/>
            <w:noWrap/>
            <w:vAlign w:val="bottom"/>
            <w:hideMark/>
          </w:tcPr>
          <w:p w14:paraId="7E2D550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1.02</w:t>
            </w:r>
          </w:p>
        </w:tc>
        <w:tc>
          <w:tcPr>
            <w:tcW w:w="744" w:type="pct"/>
            <w:tcBorders>
              <w:top w:val="nil"/>
              <w:left w:val="nil"/>
              <w:bottom w:val="nil"/>
              <w:right w:val="nil"/>
            </w:tcBorders>
            <w:shd w:val="clear" w:color="auto" w:fill="auto"/>
            <w:noWrap/>
            <w:vAlign w:val="bottom"/>
            <w:hideMark/>
          </w:tcPr>
          <w:p w14:paraId="2C23130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1.02</w:t>
            </w:r>
          </w:p>
        </w:tc>
        <w:tc>
          <w:tcPr>
            <w:tcW w:w="744" w:type="pct"/>
            <w:tcBorders>
              <w:top w:val="nil"/>
              <w:left w:val="nil"/>
              <w:bottom w:val="nil"/>
              <w:right w:val="nil"/>
            </w:tcBorders>
            <w:shd w:val="clear" w:color="auto" w:fill="auto"/>
            <w:noWrap/>
            <w:vAlign w:val="bottom"/>
            <w:hideMark/>
          </w:tcPr>
          <w:p w14:paraId="589DE38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1.01</w:t>
            </w:r>
          </w:p>
        </w:tc>
        <w:tc>
          <w:tcPr>
            <w:tcW w:w="744" w:type="pct"/>
            <w:tcBorders>
              <w:top w:val="nil"/>
              <w:left w:val="nil"/>
              <w:bottom w:val="nil"/>
              <w:right w:val="nil"/>
            </w:tcBorders>
            <w:shd w:val="clear" w:color="auto" w:fill="auto"/>
            <w:noWrap/>
            <w:vAlign w:val="bottom"/>
            <w:hideMark/>
          </w:tcPr>
          <w:p w14:paraId="3C2FD3F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1.01</w:t>
            </w:r>
          </w:p>
        </w:tc>
        <w:tc>
          <w:tcPr>
            <w:tcW w:w="743" w:type="pct"/>
            <w:tcBorders>
              <w:top w:val="nil"/>
              <w:left w:val="nil"/>
              <w:bottom w:val="nil"/>
              <w:right w:val="nil"/>
            </w:tcBorders>
            <w:shd w:val="clear" w:color="auto" w:fill="auto"/>
            <w:noWrap/>
            <w:vAlign w:val="bottom"/>
            <w:hideMark/>
          </w:tcPr>
          <w:p w14:paraId="11E4987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1.01</w:t>
            </w:r>
          </w:p>
        </w:tc>
      </w:tr>
      <w:tr w:rsidR="00273DA4" w:rsidRPr="000A1558" w14:paraId="562BC80D" w14:textId="77777777" w:rsidTr="002B78A0">
        <w:trPr>
          <w:trHeight w:val="320"/>
        </w:trPr>
        <w:tc>
          <w:tcPr>
            <w:tcW w:w="1281" w:type="pct"/>
            <w:tcBorders>
              <w:top w:val="nil"/>
              <w:left w:val="nil"/>
              <w:bottom w:val="nil"/>
              <w:right w:val="nil"/>
            </w:tcBorders>
            <w:shd w:val="clear" w:color="auto" w:fill="auto"/>
            <w:noWrap/>
            <w:vAlign w:val="bottom"/>
            <w:hideMark/>
          </w:tcPr>
          <w:p w14:paraId="2E046EEE"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7B206D0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[0.13]</w:t>
            </w:r>
          </w:p>
        </w:tc>
        <w:tc>
          <w:tcPr>
            <w:tcW w:w="744" w:type="pct"/>
            <w:tcBorders>
              <w:top w:val="nil"/>
              <w:left w:val="nil"/>
              <w:bottom w:val="nil"/>
              <w:right w:val="nil"/>
            </w:tcBorders>
            <w:shd w:val="clear" w:color="auto" w:fill="auto"/>
            <w:noWrap/>
            <w:vAlign w:val="bottom"/>
            <w:hideMark/>
          </w:tcPr>
          <w:p w14:paraId="2603E48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[0.12]</w:t>
            </w:r>
          </w:p>
        </w:tc>
        <w:tc>
          <w:tcPr>
            <w:tcW w:w="744" w:type="pct"/>
            <w:tcBorders>
              <w:top w:val="nil"/>
              <w:left w:val="nil"/>
              <w:bottom w:val="nil"/>
              <w:right w:val="nil"/>
            </w:tcBorders>
            <w:shd w:val="clear" w:color="auto" w:fill="auto"/>
            <w:noWrap/>
            <w:vAlign w:val="bottom"/>
            <w:hideMark/>
          </w:tcPr>
          <w:p w14:paraId="7E6335C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[0.12]</w:t>
            </w:r>
          </w:p>
        </w:tc>
        <w:tc>
          <w:tcPr>
            <w:tcW w:w="744" w:type="pct"/>
            <w:tcBorders>
              <w:top w:val="nil"/>
              <w:left w:val="nil"/>
              <w:bottom w:val="nil"/>
              <w:right w:val="nil"/>
            </w:tcBorders>
            <w:shd w:val="clear" w:color="auto" w:fill="auto"/>
            <w:noWrap/>
            <w:vAlign w:val="bottom"/>
            <w:hideMark/>
          </w:tcPr>
          <w:p w14:paraId="3F123316"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[0.12]</w:t>
            </w:r>
          </w:p>
        </w:tc>
        <w:tc>
          <w:tcPr>
            <w:tcW w:w="743" w:type="pct"/>
            <w:tcBorders>
              <w:top w:val="nil"/>
              <w:left w:val="nil"/>
              <w:bottom w:val="nil"/>
              <w:right w:val="nil"/>
            </w:tcBorders>
            <w:shd w:val="clear" w:color="auto" w:fill="auto"/>
            <w:noWrap/>
            <w:vAlign w:val="bottom"/>
            <w:hideMark/>
          </w:tcPr>
          <w:p w14:paraId="383EA42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[0.12]</w:t>
            </w:r>
          </w:p>
        </w:tc>
      </w:tr>
      <w:tr w:rsidR="00273DA4" w:rsidRPr="000A1558" w14:paraId="063E0DD6" w14:textId="77777777" w:rsidTr="002B78A0">
        <w:trPr>
          <w:trHeight w:val="320"/>
        </w:trPr>
        <w:tc>
          <w:tcPr>
            <w:tcW w:w="1281" w:type="pct"/>
            <w:tcBorders>
              <w:top w:val="nil"/>
              <w:left w:val="nil"/>
              <w:bottom w:val="nil"/>
              <w:right w:val="nil"/>
            </w:tcBorders>
            <w:shd w:val="clear" w:color="auto" w:fill="auto"/>
            <w:noWrap/>
            <w:vAlign w:val="bottom"/>
            <w:hideMark/>
          </w:tcPr>
          <w:p w14:paraId="68A685CB"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Occupancy rate</w:t>
            </w:r>
          </w:p>
        </w:tc>
        <w:tc>
          <w:tcPr>
            <w:tcW w:w="744" w:type="pct"/>
            <w:tcBorders>
              <w:top w:val="nil"/>
              <w:left w:val="nil"/>
              <w:bottom w:val="nil"/>
              <w:right w:val="nil"/>
            </w:tcBorders>
            <w:shd w:val="clear" w:color="auto" w:fill="auto"/>
            <w:noWrap/>
            <w:vAlign w:val="bottom"/>
            <w:hideMark/>
          </w:tcPr>
          <w:p w14:paraId="5767AC3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88.8%</w:t>
            </w:r>
          </w:p>
        </w:tc>
        <w:tc>
          <w:tcPr>
            <w:tcW w:w="744" w:type="pct"/>
            <w:tcBorders>
              <w:top w:val="nil"/>
              <w:left w:val="nil"/>
              <w:bottom w:val="nil"/>
              <w:right w:val="nil"/>
            </w:tcBorders>
            <w:shd w:val="clear" w:color="auto" w:fill="auto"/>
            <w:noWrap/>
            <w:vAlign w:val="bottom"/>
            <w:hideMark/>
          </w:tcPr>
          <w:p w14:paraId="3F4784CA"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88.6%</w:t>
            </w:r>
          </w:p>
        </w:tc>
        <w:tc>
          <w:tcPr>
            <w:tcW w:w="744" w:type="pct"/>
            <w:tcBorders>
              <w:top w:val="nil"/>
              <w:left w:val="nil"/>
              <w:bottom w:val="nil"/>
              <w:right w:val="nil"/>
            </w:tcBorders>
            <w:shd w:val="clear" w:color="auto" w:fill="auto"/>
            <w:noWrap/>
            <w:vAlign w:val="bottom"/>
            <w:hideMark/>
          </w:tcPr>
          <w:p w14:paraId="35BE110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87.2%</w:t>
            </w:r>
          </w:p>
        </w:tc>
        <w:tc>
          <w:tcPr>
            <w:tcW w:w="744" w:type="pct"/>
            <w:tcBorders>
              <w:top w:val="nil"/>
              <w:left w:val="nil"/>
              <w:bottom w:val="nil"/>
              <w:right w:val="nil"/>
            </w:tcBorders>
            <w:shd w:val="clear" w:color="auto" w:fill="auto"/>
            <w:noWrap/>
            <w:vAlign w:val="bottom"/>
            <w:hideMark/>
          </w:tcPr>
          <w:p w14:paraId="57A0E72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85.5%</w:t>
            </w:r>
          </w:p>
        </w:tc>
        <w:tc>
          <w:tcPr>
            <w:tcW w:w="743" w:type="pct"/>
            <w:tcBorders>
              <w:top w:val="nil"/>
              <w:left w:val="nil"/>
              <w:bottom w:val="nil"/>
              <w:right w:val="nil"/>
            </w:tcBorders>
            <w:shd w:val="clear" w:color="auto" w:fill="auto"/>
            <w:noWrap/>
            <w:vAlign w:val="bottom"/>
            <w:hideMark/>
          </w:tcPr>
          <w:p w14:paraId="52CFBAC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84.5%</w:t>
            </w:r>
          </w:p>
        </w:tc>
      </w:tr>
      <w:tr w:rsidR="00273DA4" w:rsidRPr="000A1558" w14:paraId="0BDF331E" w14:textId="77777777" w:rsidTr="002B78A0">
        <w:trPr>
          <w:trHeight w:val="320"/>
        </w:trPr>
        <w:tc>
          <w:tcPr>
            <w:tcW w:w="1281" w:type="pct"/>
            <w:tcBorders>
              <w:top w:val="nil"/>
              <w:left w:val="nil"/>
              <w:bottom w:val="nil"/>
              <w:right w:val="nil"/>
            </w:tcBorders>
            <w:shd w:val="clear" w:color="auto" w:fill="auto"/>
            <w:noWrap/>
            <w:vAlign w:val="bottom"/>
            <w:hideMark/>
          </w:tcPr>
          <w:p w14:paraId="15A58989"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0A9A087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[7.8%]</w:t>
            </w:r>
          </w:p>
        </w:tc>
        <w:tc>
          <w:tcPr>
            <w:tcW w:w="744" w:type="pct"/>
            <w:tcBorders>
              <w:top w:val="nil"/>
              <w:left w:val="nil"/>
              <w:bottom w:val="nil"/>
              <w:right w:val="nil"/>
            </w:tcBorders>
            <w:shd w:val="clear" w:color="auto" w:fill="auto"/>
            <w:noWrap/>
            <w:vAlign w:val="bottom"/>
            <w:hideMark/>
          </w:tcPr>
          <w:p w14:paraId="5244745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[8.0%]</w:t>
            </w:r>
          </w:p>
        </w:tc>
        <w:tc>
          <w:tcPr>
            <w:tcW w:w="744" w:type="pct"/>
            <w:tcBorders>
              <w:top w:val="nil"/>
              <w:left w:val="nil"/>
              <w:bottom w:val="nil"/>
              <w:right w:val="nil"/>
            </w:tcBorders>
            <w:shd w:val="clear" w:color="auto" w:fill="auto"/>
            <w:noWrap/>
            <w:vAlign w:val="bottom"/>
            <w:hideMark/>
          </w:tcPr>
          <w:p w14:paraId="272FC150"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[8.7%]</w:t>
            </w:r>
          </w:p>
        </w:tc>
        <w:tc>
          <w:tcPr>
            <w:tcW w:w="744" w:type="pct"/>
            <w:tcBorders>
              <w:top w:val="nil"/>
              <w:left w:val="nil"/>
              <w:bottom w:val="nil"/>
              <w:right w:val="nil"/>
            </w:tcBorders>
            <w:shd w:val="clear" w:color="auto" w:fill="auto"/>
            <w:noWrap/>
            <w:vAlign w:val="bottom"/>
            <w:hideMark/>
          </w:tcPr>
          <w:p w14:paraId="6E17EB2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[9.4%]</w:t>
            </w:r>
          </w:p>
        </w:tc>
        <w:tc>
          <w:tcPr>
            <w:tcW w:w="743" w:type="pct"/>
            <w:tcBorders>
              <w:top w:val="nil"/>
              <w:left w:val="nil"/>
              <w:bottom w:val="nil"/>
              <w:right w:val="nil"/>
            </w:tcBorders>
            <w:shd w:val="clear" w:color="auto" w:fill="auto"/>
            <w:noWrap/>
            <w:vAlign w:val="bottom"/>
            <w:hideMark/>
          </w:tcPr>
          <w:p w14:paraId="26A465B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[10.4%]</w:t>
            </w:r>
          </w:p>
        </w:tc>
      </w:tr>
      <w:tr w:rsidR="00273DA4" w:rsidRPr="000A1558" w14:paraId="6769CDC4" w14:textId="77777777" w:rsidTr="002B78A0">
        <w:trPr>
          <w:trHeight w:val="320"/>
        </w:trPr>
        <w:tc>
          <w:tcPr>
            <w:tcW w:w="1281" w:type="pct"/>
            <w:tcBorders>
              <w:top w:val="nil"/>
              <w:left w:val="nil"/>
              <w:bottom w:val="nil"/>
              <w:right w:val="nil"/>
            </w:tcBorders>
            <w:shd w:val="clear" w:color="auto" w:fill="auto"/>
            <w:noWrap/>
            <w:vAlign w:val="bottom"/>
            <w:hideMark/>
          </w:tcPr>
          <w:p w14:paraId="0CB8AF43"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Occupancy change</w:t>
            </w:r>
          </w:p>
        </w:tc>
        <w:tc>
          <w:tcPr>
            <w:tcW w:w="744" w:type="pct"/>
            <w:tcBorders>
              <w:top w:val="nil"/>
              <w:left w:val="nil"/>
              <w:bottom w:val="nil"/>
              <w:right w:val="nil"/>
            </w:tcBorders>
            <w:shd w:val="clear" w:color="auto" w:fill="auto"/>
            <w:noWrap/>
            <w:vAlign w:val="bottom"/>
            <w:hideMark/>
          </w:tcPr>
          <w:p w14:paraId="24285B0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-0.6%</w:t>
            </w:r>
          </w:p>
        </w:tc>
        <w:tc>
          <w:tcPr>
            <w:tcW w:w="744" w:type="pct"/>
            <w:tcBorders>
              <w:top w:val="nil"/>
              <w:left w:val="nil"/>
              <w:bottom w:val="nil"/>
              <w:right w:val="nil"/>
            </w:tcBorders>
            <w:shd w:val="clear" w:color="auto" w:fill="auto"/>
            <w:noWrap/>
            <w:vAlign w:val="bottom"/>
            <w:hideMark/>
          </w:tcPr>
          <w:p w14:paraId="3B38220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-0.3%</w:t>
            </w:r>
          </w:p>
        </w:tc>
        <w:tc>
          <w:tcPr>
            <w:tcW w:w="744" w:type="pct"/>
            <w:tcBorders>
              <w:top w:val="nil"/>
              <w:left w:val="nil"/>
              <w:bottom w:val="nil"/>
              <w:right w:val="nil"/>
            </w:tcBorders>
            <w:shd w:val="clear" w:color="auto" w:fill="auto"/>
            <w:noWrap/>
            <w:vAlign w:val="bottom"/>
            <w:hideMark/>
          </w:tcPr>
          <w:p w14:paraId="737D8F1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-1.4%</w:t>
            </w:r>
          </w:p>
        </w:tc>
        <w:tc>
          <w:tcPr>
            <w:tcW w:w="744" w:type="pct"/>
            <w:tcBorders>
              <w:top w:val="nil"/>
              <w:left w:val="nil"/>
              <w:bottom w:val="nil"/>
              <w:right w:val="nil"/>
            </w:tcBorders>
            <w:shd w:val="clear" w:color="auto" w:fill="auto"/>
            <w:noWrap/>
            <w:vAlign w:val="bottom"/>
            <w:hideMark/>
          </w:tcPr>
          <w:p w14:paraId="32E7B34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-1.8%</w:t>
            </w:r>
          </w:p>
        </w:tc>
        <w:tc>
          <w:tcPr>
            <w:tcW w:w="743" w:type="pct"/>
            <w:tcBorders>
              <w:top w:val="nil"/>
              <w:left w:val="nil"/>
              <w:bottom w:val="nil"/>
              <w:right w:val="nil"/>
            </w:tcBorders>
            <w:shd w:val="clear" w:color="auto" w:fill="auto"/>
            <w:noWrap/>
            <w:vAlign w:val="bottom"/>
            <w:hideMark/>
          </w:tcPr>
          <w:p w14:paraId="7DD4CA8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-0.9%</w:t>
            </w:r>
          </w:p>
        </w:tc>
      </w:tr>
      <w:tr w:rsidR="00273DA4" w:rsidRPr="000A1558" w14:paraId="04547CAF" w14:textId="77777777" w:rsidTr="002B78A0">
        <w:trPr>
          <w:trHeight w:val="320"/>
        </w:trPr>
        <w:tc>
          <w:tcPr>
            <w:tcW w:w="1281" w:type="pct"/>
            <w:tcBorders>
              <w:top w:val="nil"/>
              <w:left w:val="nil"/>
              <w:bottom w:val="nil"/>
              <w:right w:val="nil"/>
            </w:tcBorders>
            <w:shd w:val="clear" w:color="auto" w:fill="auto"/>
            <w:noWrap/>
            <w:vAlign w:val="bottom"/>
            <w:hideMark/>
          </w:tcPr>
          <w:p w14:paraId="6107D1CF"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0408EAD6"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4" w:type="pct"/>
            <w:tcBorders>
              <w:top w:val="nil"/>
              <w:left w:val="nil"/>
              <w:bottom w:val="nil"/>
              <w:right w:val="nil"/>
            </w:tcBorders>
            <w:shd w:val="clear" w:color="auto" w:fill="auto"/>
            <w:noWrap/>
            <w:vAlign w:val="bottom"/>
            <w:hideMark/>
          </w:tcPr>
          <w:p w14:paraId="6525D826"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[5.2%]</w:t>
            </w:r>
          </w:p>
        </w:tc>
        <w:tc>
          <w:tcPr>
            <w:tcW w:w="744" w:type="pct"/>
            <w:tcBorders>
              <w:top w:val="nil"/>
              <w:left w:val="nil"/>
              <w:bottom w:val="nil"/>
              <w:right w:val="nil"/>
            </w:tcBorders>
            <w:shd w:val="clear" w:color="auto" w:fill="auto"/>
            <w:noWrap/>
            <w:vAlign w:val="bottom"/>
            <w:hideMark/>
          </w:tcPr>
          <w:p w14:paraId="77E223C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[5.7%]</w:t>
            </w:r>
          </w:p>
        </w:tc>
        <w:tc>
          <w:tcPr>
            <w:tcW w:w="744" w:type="pct"/>
            <w:tcBorders>
              <w:top w:val="nil"/>
              <w:left w:val="nil"/>
              <w:bottom w:val="nil"/>
              <w:right w:val="nil"/>
            </w:tcBorders>
            <w:shd w:val="clear" w:color="auto" w:fill="auto"/>
            <w:noWrap/>
            <w:vAlign w:val="bottom"/>
            <w:hideMark/>
          </w:tcPr>
          <w:p w14:paraId="3983CB2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[6.0%]</w:t>
            </w:r>
          </w:p>
        </w:tc>
        <w:tc>
          <w:tcPr>
            <w:tcW w:w="743" w:type="pct"/>
            <w:tcBorders>
              <w:top w:val="nil"/>
              <w:left w:val="nil"/>
              <w:bottom w:val="nil"/>
              <w:right w:val="nil"/>
            </w:tcBorders>
            <w:shd w:val="clear" w:color="auto" w:fill="auto"/>
            <w:noWrap/>
            <w:vAlign w:val="bottom"/>
            <w:hideMark/>
          </w:tcPr>
          <w:p w14:paraId="1014AD9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[5.4%]</w:t>
            </w:r>
          </w:p>
        </w:tc>
      </w:tr>
      <w:tr w:rsidR="00273DA4" w:rsidRPr="000A1558" w14:paraId="782D75F1" w14:textId="77777777" w:rsidTr="002B78A0">
        <w:trPr>
          <w:trHeight w:val="320"/>
        </w:trPr>
        <w:tc>
          <w:tcPr>
            <w:tcW w:w="1281" w:type="pct"/>
            <w:tcBorders>
              <w:top w:val="nil"/>
              <w:left w:val="nil"/>
              <w:bottom w:val="nil"/>
              <w:right w:val="nil"/>
            </w:tcBorders>
            <w:shd w:val="clear" w:color="auto" w:fill="auto"/>
            <w:noWrap/>
            <w:vAlign w:val="bottom"/>
            <w:hideMark/>
          </w:tcPr>
          <w:p w14:paraId="383FFE98"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Percent Medicaid days</w:t>
            </w:r>
          </w:p>
        </w:tc>
        <w:tc>
          <w:tcPr>
            <w:tcW w:w="744" w:type="pct"/>
            <w:tcBorders>
              <w:top w:val="nil"/>
              <w:left w:val="nil"/>
              <w:bottom w:val="nil"/>
              <w:right w:val="nil"/>
            </w:tcBorders>
            <w:shd w:val="clear" w:color="auto" w:fill="auto"/>
            <w:noWrap/>
            <w:vAlign w:val="bottom"/>
            <w:hideMark/>
          </w:tcPr>
          <w:p w14:paraId="0A16EFD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57%</w:t>
            </w:r>
          </w:p>
        </w:tc>
        <w:tc>
          <w:tcPr>
            <w:tcW w:w="744" w:type="pct"/>
            <w:tcBorders>
              <w:top w:val="nil"/>
              <w:left w:val="nil"/>
              <w:bottom w:val="nil"/>
              <w:right w:val="nil"/>
            </w:tcBorders>
            <w:shd w:val="clear" w:color="auto" w:fill="auto"/>
            <w:noWrap/>
            <w:vAlign w:val="bottom"/>
            <w:hideMark/>
          </w:tcPr>
          <w:p w14:paraId="2CFB4CF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56%</w:t>
            </w:r>
          </w:p>
        </w:tc>
        <w:tc>
          <w:tcPr>
            <w:tcW w:w="744" w:type="pct"/>
            <w:tcBorders>
              <w:top w:val="nil"/>
              <w:left w:val="nil"/>
              <w:bottom w:val="nil"/>
              <w:right w:val="nil"/>
            </w:tcBorders>
            <w:shd w:val="clear" w:color="auto" w:fill="auto"/>
            <w:noWrap/>
            <w:vAlign w:val="bottom"/>
            <w:hideMark/>
          </w:tcPr>
          <w:p w14:paraId="3FC56FD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55%</w:t>
            </w:r>
          </w:p>
        </w:tc>
        <w:tc>
          <w:tcPr>
            <w:tcW w:w="744" w:type="pct"/>
            <w:tcBorders>
              <w:top w:val="nil"/>
              <w:left w:val="nil"/>
              <w:bottom w:val="nil"/>
              <w:right w:val="nil"/>
            </w:tcBorders>
            <w:shd w:val="clear" w:color="auto" w:fill="auto"/>
            <w:noWrap/>
            <w:vAlign w:val="bottom"/>
            <w:hideMark/>
          </w:tcPr>
          <w:p w14:paraId="14611E9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56%</w:t>
            </w:r>
          </w:p>
        </w:tc>
        <w:tc>
          <w:tcPr>
            <w:tcW w:w="743" w:type="pct"/>
            <w:tcBorders>
              <w:top w:val="nil"/>
              <w:left w:val="nil"/>
              <w:bottom w:val="nil"/>
              <w:right w:val="nil"/>
            </w:tcBorders>
            <w:shd w:val="clear" w:color="auto" w:fill="auto"/>
            <w:noWrap/>
            <w:vAlign w:val="bottom"/>
            <w:hideMark/>
          </w:tcPr>
          <w:p w14:paraId="6CE0691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57%</w:t>
            </w:r>
          </w:p>
        </w:tc>
      </w:tr>
      <w:tr w:rsidR="00273DA4" w:rsidRPr="000A1558" w14:paraId="1FE6126C" w14:textId="77777777" w:rsidTr="002B78A0">
        <w:trPr>
          <w:trHeight w:val="320"/>
        </w:trPr>
        <w:tc>
          <w:tcPr>
            <w:tcW w:w="1281" w:type="pct"/>
            <w:tcBorders>
              <w:top w:val="nil"/>
              <w:left w:val="nil"/>
              <w:bottom w:val="nil"/>
              <w:right w:val="nil"/>
            </w:tcBorders>
            <w:shd w:val="clear" w:color="auto" w:fill="auto"/>
            <w:noWrap/>
            <w:vAlign w:val="bottom"/>
            <w:hideMark/>
          </w:tcPr>
          <w:p w14:paraId="03129ADC"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7BCBAA9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[14%]</w:t>
            </w:r>
          </w:p>
        </w:tc>
        <w:tc>
          <w:tcPr>
            <w:tcW w:w="744" w:type="pct"/>
            <w:tcBorders>
              <w:top w:val="nil"/>
              <w:left w:val="nil"/>
              <w:bottom w:val="nil"/>
              <w:right w:val="nil"/>
            </w:tcBorders>
            <w:shd w:val="clear" w:color="auto" w:fill="auto"/>
            <w:noWrap/>
            <w:vAlign w:val="bottom"/>
            <w:hideMark/>
          </w:tcPr>
          <w:p w14:paraId="4F5C0CF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[15%]</w:t>
            </w:r>
          </w:p>
        </w:tc>
        <w:tc>
          <w:tcPr>
            <w:tcW w:w="744" w:type="pct"/>
            <w:tcBorders>
              <w:top w:val="nil"/>
              <w:left w:val="nil"/>
              <w:bottom w:val="nil"/>
              <w:right w:val="nil"/>
            </w:tcBorders>
            <w:shd w:val="clear" w:color="auto" w:fill="auto"/>
            <w:noWrap/>
            <w:vAlign w:val="bottom"/>
            <w:hideMark/>
          </w:tcPr>
          <w:p w14:paraId="196A53C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[14%]</w:t>
            </w:r>
          </w:p>
        </w:tc>
        <w:tc>
          <w:tcPr>
            <w:tcW w:w="744" w:type="pct"/>
            <w:tcBorders>
              <w:top w:val="nil"/>
              <w:left w:val="nil"/>
              <w:bottom w:val="nil"/>
              <w:right w:val="nil"/>
            </w:tcBorders>
            <w:shd w:val="clear" w:color="auto" w:fill="auto"/>
            <w:noWrap/>
            <w:vAlign w:val="bottom"/>
            <w:hideMark/>
          </w:tcPr>
          <w:p w14:paraId="1F1D7A7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[14%]</w:t>
            </w:r>
          </w:p>
        </w:tc>
        <w:tc>
          <w:tcPr>
            <w:tcW w:w="743" w:type="pct"/>
            <w:tcBorders>
              <w:top w:val="nil"/>
              <w:left w:val="nil"/>
              <w:bottom w:val="nil"/>
              <w:right w:val="nil"/>
            </w:tcBorders>
            <w:shd w:val="clear" w:color="auto" w:fill="auto"/>
            <w:noWrap/>
            <w:vAlign w:val="bottom"/>
            <w:hideMark/>
          </w:tcPr>
          <w:p w14:paraId="48EF503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[14%]</w:t>
            </w:r>
          </w:p>
        </w:tc>
      </w:tr>
      <w:tr w:rsidR="00273DA4" w:rsidRPr="000A1558" w14:paraId="1F4B18A5" w14:textId="77777777" w:rsidTr="002B78A0">
        <w:trPr>
          <w:trHeight w:val="320"/>
        </w:trPr>
        <w:tc>
          <w:tcPr>
            <w:tcW w:w="1281" w:type="pct"/>
            <w:tcBorders>
              <w:top w:val="nil"/>
              <w:left w:val="nil"/>
              <w:bottom w:val="nil"/>
              <w:right w:val="nil"/>
            </w:tcBorders>
            <w:shd w:val="clear" w:color="auto" w:fill="auto"/>
            <w:noWrap/>
            <w:vAlign w:val="bottom"/>
            <w:hideMark/>
          </w:tcPr>
          <w:p w14:paraId="585D800A"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Twin-Cities location</w:t>
            </w:r>
          </w:p>
        </w:tc>
        <w:tc>
          <w:tcPr>
            <w:tcW w:w="744" w:type="pct"/>
            <w:tcBorders>
              <w:top w:val="nil"/>
              <w:left w:val="nil"/>
              <w:bottom w:val="nil"/>
              <w:right w:val="nil"/>
            </w:tcBorders>
            <w:shd w:val="clear" w:color="auto" w:fill="auto"/>
            <w:noWrap/>
            <w:vAlign w:val="bottom"/>
            <w:hideMark/>
          </w:tcPr>
          <w:p w14:paraId="1605F26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35%</w:t>
            </w:r>
          </w:p>
        </w:tc>
        <w:tc>
          <w:tcPr>
            <w:tcW w:w="744" w:type="pct"/>
            <w:tcBorders>
              <w:top w:val="nil"/>
              <w:left w:val="nil"/>
              <w:bottom w:val="nil"/>
              <w:right w:val="nil"/>
            </w:tcBorders>
            <w:shd w:val="clear" w:color="auto" w:fill="auto"/>
            <w:noWrap/>
            <w:vAlign w:val="bottom"/>
            <w:hideMark/>
          </w:tcPr>
          <w:p w14:paraId="7D31FD8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35%</w:t>
            </w:r>
          </w:p>
        </w:tc>
        <w:tc>
          <w:tcPr>
            <w:tcW w:w="744" w:type="pct"/>
            <w:tcBorders>
              <w:top w:val="nil"/>
              <w:left w:val="nil"/>
              <w:bottom w:val="nil"/>
              <w:right w:val="nil"/>
            </w:tcBorders>
            <w:shd w:val="clear" w:color="auto" w:fill="auto"/>
            <w:noWrap/>
            <w:vAlign w:val="bottom"/>
            <w:hideMark/>
          </w:tcPr>
          <w:p w14:paraId="01D95F7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35%</w:t>
            </w:r>
          </w:p>
        </w:tc>
        <w:tc>
          <w:tcPr>
            <w:tcW w:w="744" w:type="pct"/>
            <w:tcBorders>
              <w:top w:val="nil"/>
              <w:left w:val="nil"/>
              <w:bottom w:val="nil"/>
              <w:right w:val="nil"/>
            </w:tcBorders>
            <w:shd w:val="clear" w:color="auto" w:fill="auto"/>
            <w:noWrap/>
            <w:vAlign w:val="bottom"/>
            <w:hideMark/>
          </w:tcPr>
          <w:p w14:paraId="0B3056A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35%</w:t>
            </w:r>
          </w:p>
        </w:tc>
        <w:tc>
          <w:tcPr>
            <w:tcW w:w="743" w:type="pct"/>
            <w:tcBorders>
              <w:top w:val="nil"/>
              <w:left w:val="nil"/>
              <w:bottom w:val="nil"/>
              <w:right w:val="nil"/>
            </w:tcBorders>
            <w:shd w:val="clear" w:color="auto" w:fill="auto"/>
            <w:noWrap/>
            <w:vAlign w:val="bottom"/>
            <w:hideMark/>
          </w:tcPr>
          <w:p w14:paraId="58786F1A"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35%</w:t>
            </w:r>
          </w:p>
        </w:tc>
      </w:tr>
      <w:tr w:rsidR="00273DA4" w:rsidRPr="000A1558" w14:paraId="73343162" w14:textId="77777777" w:rsidTr="002B78A0">
        <w:trPr>
          <w:trHeight w:val="320"/>
        </w:trPr>
        <w:tc>
          <w:tcPr>
            <w:tcW w:w="1281" w:type="pct"/>
            <w:tcBorders>
              <w:top w:val="nil"/>
              <w:left w:val="nil"/>
              <w:bottom w:val="nil"/>
              <w:right w:val="nil"/>
            </w:tcBorders>
            <w:shd w:val="clear" w:color="auto" w:fill="auto"/>
            <w:noWrap/>
            <w:vAlign w:val="bottom"/>
            <w:hideMark/>
          </w:tcPr>
          <w:p w14:paraId="1EFD4530"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Other urban location</w:t>
            </w:r>
          </w:p>
        </w:tc>
        <w:tc>
          <w:tcPr>
            <w:tcW w:w="744" w:type="pct"/>
            <w:tcBorders>
              <w:top w:val="nil"/>
              <w:left w:val="nil"/>
              <w:bottom w:val="nil"/>
              <w:right w:val="nil"/>
            </w:tcBorders>
            <w:shd w:val="clear" w:color="auto" w:fill="auto"/>
            <w:noWrap/>
            <w:vAlign w:val="bottom"/>
            <w:hideMark/>
          </w:tcPr>
          <w:p w14:paraId="755414B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16%</w:t>
            </w:r>
          </w:p>
        </w:tc>
        <w:tc>
          <w:tcPr>
            <w:tcW w:w="744" w:type="pct"/>
            <w:tcBorders>
              <w:top w:val="nil"/>
              <w:left w:val="nil"/>
              <w:bottom w:val="nil"/>
              <w:right w:val="nil"/>
            </w:tcBorders>
            <w:shd w:val="clear" w:color="auto" w:fill="auto"/>
            <w:noWrap/>
            <w:vAlign w:val="bottom"/>
            <w:hideMark/>
          </w:tcPr>
          <w:p w14:paraId="35AB4E87"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16%</w:t>
            </w:r>
          </w:p>
        </w:tc>
        <w:tc>
          <w:tcPr>
            <w:tcW w:w="744" w:type="pct"/>
            <w:tcBorders>
              <w:top w:val="nil"/>
              <w:left w:val="nil"/>
              <w:bottom w:val="nil"/>
              <w:right w:val="nil"/>
            </w:tcBorders>
            <w:shd w:val="clear" w:color="auto" w:fill="auto"/>
            <w:noWrap/>
            <w:vAlign w:val="bottom"/>
            <w:hideMark/>
          </w:tcPr>
          <w:p w14:paraId="07F064B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16%</w:t>
            </w:r>
          </w:p>
        </w:tc>
        <w:tc>
          <w:tcPr>
            <w:tcW w:w="744" w:type="pct"/>
            <w:tcBorders>
              <w:top w:val="nil"/>
              <w:left w:val="nil"/>
              <w:bottom w:val="nil"/>
              <w:right w:val="nil"/>
            </w:tcBorders>
            <w:shd w:val="clear" w:color="auto" w:fill="auto"/>
            <w:noWrap/>
            <w:vAlign w:val="bottom"/>
            <w:hideMark/>
          </w:tcPr>
          <w:p w14:paraId="2C557C6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16%</w:t>
            </w:r>
          </w:p>
        </w:tc>
        <w:tc>
          <w:tcPr>
            <w:tcW w:w="743" w:type="pct"/>
            <w:tcBorders>
              <w:top w:val="nil"/>
              <w:left w:val="nil"/>
              <w:bottom w:val="nil"/>
              <w:right w:val="nil"/>
            </w:tcBorders>
            <w:shd w:val="clear" w:color="auto" w:fill="auto"/>
            <w:noWrap/>
            <w:vAlign w:val="bottom"/>
            <w:hideMark/>
          </w:tcPr>
          <w:p w14:paraId="6691674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16%</w:t>
            </w:r>
          </w:p>
        </w:tc>
      </w:tr>
      <w:tr w:rsidR="00273DA4" w:rsidRPr="000A1558" w14:paraId="001DD1D5" w14:textId="77777777" w:rsidTr="002B78A0">
        <w:trPr>
          <w:trHeight w:val="320"/>
        </w:trPr>
        <w:tc>
          <w:tcPr>
            <w:tcW w:w="1281" w:type="pct"/>
            <w:tcBorders>
              <w:top w:val="nil"/>
              <w:left w:val="nil"/>
              <w:bottom w:val="nil"/>
              <w:right w:val="nil"/>
            </w:tcBorders>
            <w:shd w:val="clear" w:color="auto" w:fill="auto"/>
            <w:noWrap/>
            <w:vAlign w:val="bottom"/>
            <w:hideMark/>
          </w:tcPr>
          <w:p w14:paraId="345782F3"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Rural location</w:t>
            </w:r>
          </w:p>
        </w:tc>
        <w:tc>
          <w:tcPr>
            <w:tcW w:w="744" w:type="pct"/>
            <w:tcBorders>
              <w:top w:val="nil"/>
              <w:left w:val="nil"/>
              <w:bottom w:val="nil"/>
              <w:right w:val="nil"/>
            </w:tcBorders>
            <w:shd w:val="clear" w:color="auto" w:fill="auto"/>
            <w:noWrap/>
            <w:vAlign w:val="bottom"/>
            <w:hideMark/>
          </w:tcPr>
          <w:p w14:paraId="1C4771F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c>
          <w:tcPr>
            <w:tcW w:w="744" w:type="pct"/>
            <w:tcBorders>
              <w:top w:val="nil"/>
              <w:left w:val="nil"/>
              <w:bottom w:val="nil"/>
              <w:right w:val="nil"/>
            </w:tcBorders>
            <w:shd w:val="clear" w:color="auto" w:fill="auto"/>
            <w:noWrap/>
            <w:vAlign w:val="bottom"/>
            <w:hideMark/>
          </w:tcPr>
          <w:p w14:paraId="7BEC6B8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c>
          <w:tcPr>
            <w:tcW w:w="744" w:type="pct"/>
            <w:tcBorders>
              <w:top w:val="nil"/>
              <w:left w:val="nil"/>
              <w:bottom w:val="nil"/>
              <w:right w:val="nil"/>
            </w:tcBorders>
            <w:shd w:val="clear" w:color="auto" w:fill="auto"/>
            <w:noWrap/>
            <w:vAlign w:val="bottom"/>
            <w:hideMark/>
          </w:tcPr>
          <w:p w14:paraId="37E5B62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c>
          <w:tcPr>
            <w:tcW w:w="744" w:type="pct"/>
            <w:tcBorders>
              <w:top w:val="nil"/>
              <w:left w:val="nil"/>
              <w:bottom w:val="nil"/>
              <w:right w:val="nil"/>
            </w:tcBorders>
            <w:shd w:val="clear" w:color="auto" w:fill="auto"/>
            <w:noWrap/>
            <w:vAlign w:val="bottom"/>
            <w:hideMark/>
          </w:tcPr>
          <w:p w14:paraId="0289616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c>
          <w:tcPr>
            <w:tcW w:w="743" w:type="pct"/>
            <w:tcBorders>
              <w:top w:val="nil"/>
              <w:left w:val="nil"/>
              <w:bottom w:val="nil"/>
              <w:right w:val="nil"/>
            </w:tcBorders>
            <w:shd w:val="clear" w:color="auto" w:fill="auto"/>
            <w:noWrap/>
            <w:vAlign w:val="bottom"/>
            <w:hideMark/>
          </w:tcPr>
          <w:p w14:paraId="6B6AED4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r>
      <w:tr w:rsidR="00273DA4" w:rsidRPr="000A1558" w14:paraId="54E7FC6B" w14:textId="77777777" w:rsidTr="002B78A0">
        <w:trPr>
          <w:trHeight w:val="320"/>
        </w:trPr>
        <w:tc>
          <w:tcPr>
            <w:tcW w:w="1281" w:type="pct"/>
            <w:tcBorders>
              <w:top w:val="nil"/>
              <w:left w:val="nil"/>
              <w:bottom w:val="nil"/>
              <w:right w:val="nil"/>
            </w:tcBorders>
            <w:shd w:val="clear" w:color="auto" w:fill="auto"/>
            <w:noWrap/>
            <w:vAlign w:val="bottom"/>
            <w:hideMark/>
          </w:tcPr>
          <w:p w14:paraId="1307875D"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Number of beds</w:t>
            </w:r>
          </w:p>
        </w:tc>
        <w:tc>
          <w:tcPr>
            <w:tcW w:w="744" w:type="pct"/>
            <w:tcBorders>
              <w:top w:val="nil"/>
              <w:left w:val="nil"/>
              <w:bottom w:val="nil"/>
              <w:right w:val="nil"/>
            </w:tcBorders>
            <w:shd w:val="clear" w:color="auto" w:fill="auto"/>
            <w:noWrap/>
            <w:vAlign w:val="bottom"/>
            <w:hideMark/>
          </w:tcPr>
          <w:p w14:paraId="22E0A9F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81.7</w:t>
            </w:r>
          </w:p>
        </w:tc>
        <w:tc>
          <w:tcPr>
            <w:tcW w:w="744" w:type="pct"/>
            <w:tcBorders>
              <w:top w:val="nil"/>
              <w:left w:val="nil"/>
              <w:bottom w:val="nil"/>
              <w:right w:val="nil"/>
            </w:tcBorders>
            <w:shd w:val="clear" w:color="auto" w:fill="auto"/>
            <w:noWrap/>
            <w:vAlign w:val="bottom"/>
            <w:hideMark/>
          </w:tcPr>
          <w:p w14:paraId="1FE647C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80.6</w:t>
            </w:r>
          </w:p>
        </w:tc>
        <w:tc>
          <w:tcPr>
            <w:tcW w:w="744" w:type="pct"/>
            <w:tcBorders>
              <w:top w:val="nil"/>
              <w:left w:val="nil"/>
              <w:bottom w:val="nil"/>
              <w:right w:val="nil"/>
            </w:tcBorders>
            <w:shd w:val="clear" w:color="auto" w:fill="auto"/>
            <w:noWrap/>
            <w:vAlign w:val="bottom"/>
            <w:hideMark/>
          </w:tcPr>
          <w:p w14:paraId="605B71E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79.7</w:t>
            </w:r>
          </w:p>
        </w:tc>
        <w:tc>
          <w:tcPr>
            <w:tcW w:w="744" w:type="pct"/>
            <w:tcBorders>
              <w:top w:val="nil"/>
              <w:left w:val="nil"/>
              <w:bottom w:val="nil"/>
              <w:right w:val="nil"/>
            </w:tcBorders>
            <w:shd w:val="clear" w:color="auto" w:fill="auto"/>
            <w:noWrap/>
            <w:vAlign w:val="bottom"/>
            <w:hideMark/>
          </w:tcPr>
          <w:p w14:paraId="2F2EA7D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79.0</w:t>
            </w:r>
          </w:p>
        </w:tc>
        <w:tc>
          <w:tcPr>
            <w:tcW w:w="743" w:type="pct"/>
            <w:tcBorders>
              <w:top w:val="nil"/>
              <w:left w:val="nil"/>
              <w:bottom w:val="nil"/>
              <w:right w:val="nil"/>
            </w:tcBorders>
            <w:shd w:val="clear" w:color="auto" w:fill="auto"/>
            <w:noWrap/>
            <w:vAlign w:val="bottom"/>
            <w:hideMark/>
          </w:tcPr>
          <w:p w14:paraId="2BEA41B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77.9</w:t>
            </w:r>
          </w:p>
        </w:tc>
      </w:tr>
      <w:tr w:rsidR="00273DA4" w:rsidRPr="000A1558" w14:paraId="649F6A5F" w14:textId="77777777" w:rsidTr="002B78A0">
        <w:trPr>
          <w:trHeight w:val="320"/>
        </w:trPr>
        <w:tc>
          <w:tcPr>
            <w:tcW w:w="1281" w:type="pct"/>
            <w:tcBorders>
              <w:top w:val="nil"/>
              <w:left w:val="nil"/>
              <w:bottom w:val="nil"/>
              <w:right w:val="nil"/>
            </w:tcBorders>
            <w:shd w:val="clear" w:color="auto" w:fill="auto"/>
            <w:noWrap/>
            <w:vAlign w:val="bottom"/>
            <w:hideMark/>
          </w:tcPr>
          <w:p w14:paraId="62CB8723"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350C23A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[46.3]</w:t>
            </w:r>
          </w:p>
        </w:tc>
        <w:tc>
          <w:tcPr>
            <w:tcW w:w="744" w:type="pct"/>
            <w:tcBorders>
              <w:top w:val="nil"/>
              <w:left w:val="nil"/>
              <w:bottom w:val="nil"/>
              <w:right w:val="nil"/>
            </w:tcBorders>
            <w:shd w:val="clear" w:color="auto" w:fill="auto"/>
            <w:noWrap/>
            <w:vAlign w:val="bottom"/>
            <w:hideMark/>
          </w:tcPr>
          <w:p w14:paraId="2DBFB02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[46.2]</w:t>
            </w:r>
          </w:p>
        </w:tc>
        <w:tc>
          <w:tcPr>
            <w:tcW w:w="744" w:type="pct"/>
            <w:tcBorders>
              <w:top w:val="nil"/>
              <w:left w:val="nil"/>
              <w:bottom w:val="nil"/>
              <w:right w:val="nil"/>
            </w:tcBorders>
            <w:shd w:val="clear" w:color="auto" w:fill="auto"/>
            <w:noWrap/>
            <w:vAlign w:val="bottom"/>
            <w:hideMark/>
          </w:tcPr>
          <w:p w14:paraId="2DD4B74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[46.2]</w:t>
            </w:r>
          </w:p>
        </w:tc>
        <w:tc>
          <w:tcPr>
            <w:tcW w:w="744" w:type="pct"/>
            <w:tcBorders>
              <w:top w:val="nil"/>
              <w:left w:val="nil"/>
              <w:bottom w:val="nil"/>
              <w:right w:val="nil"/>
            </w:tcBorders>
            <w:shd w:val="clear" w:color="auto" w:fill="auto"/>
            <w:noWrap/>
            <w:vAlign w:val="bottom"/>
            <w:hideMark/>
          </w:tcPr>
          <w:p w14:paraId="54872D9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[46.1]</w:t>
            </w:r>
          </w:p>
        </w:tc>
        <w:tc>
          <w:tcPr>
            <w:tcW w:w="743" w:type="pct"/>
            <w:tcBorders>
              <w:top w:val="nil"/>
              <w:left w:val="nil"/>
              <w:bottom w:val="nil"/>
              <w:right w:val="nil"/>
            </w:tcBorders>
            <w:shd w:val="clear" w:color="auto" w:fill="auto"/>
            <w:noWrap/>
            <w:vAlign w:val="bottom"/>
            <w:hideMark/>
          </w:tcPr>
          <w:p w14:paraId="60EC4EF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[45.3]</w:t>
            </w:r>
          </w:p>
        </w:tc>
      </w:tr>
      <w:tr w:rsidR="00273DA4" w:rsidRPr="000A1558" w14:paraId="51D25B6A" w14:textId="77777777" w:rsidTr="002B78A0">
        <w:trPr>
          <w:trHeight w:val="320"/>
        </w:trPr>
        <w:tc>
          <w:tcPr>
            <w:tcW w:w="1281" w:type="pct"/>
            <w:tcBorders>
              <w:top w:val="nil"/>
              <w:left w:val="nil"/>
              <w:bottom w:val="nil"/>
              <w:right w:val="nil"/>
            </w:tcBorders>
            <w:shd w:val="clear" w:color="auto" w:fill="auto"/>
            <w:noWrap/>
            <w:vAlign w:val="bottom"/>
            <w:hideMark/>
          </w:tcPr>
          <w:p w14:paraId="52C0A144"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Care related cost</w:t>
            </w:r>
            <w:r w:rsidR="002B78A0" w:rsidRPr="000A1558">
              <w:rPr>
                <w:rFonts w:eastAsia="Times New Roman" w:cstheme="minorHAnsi"/>
                <w:color w:val="000000"/>
                <w:sz w:val="22"/>
                <w:szCs w:val="22"/>
                <w:vertAlign w:val="superscript"/>
              </w:rPr>
              <w:t>a</w:t>
            </w:r>
          </w:p>
        </w:tc>
        <w:tc>
          <w:tcPr>
            <w:tcW w:w="744" w:type="pct"/>
            <w:tcBorders>
              <w:top w:val="nil"/>
              <w:left w:val="nil"/>
              <w:bottom w:val="nil"/>
              <w:right w:val="nil"/>
            </w:tcBorders>
            <w:shd w:val="clear" w:color="auto" w:fill="auto"/>
            <w:noWrap/>
            <w:vAlign w:val="bottom"/>
            <w:hideMark/>
          </w:tcPr>
          <w:p w14:paraId="42F796FA"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$110.70</w:t>
            </w:r>
          </w:p>
        </w:tc>
        <w:tc>
          <w:tcPr>
            <w:tcW w:w="744" w:type="pct"/>
            <w:tcBorders>
              <w:top w:val="nil"/>
              <w:left w:val="nil"/>
              <w:bottom w:val="nil"/>
              <w:right w:val="nil"/>
            </w:tcBorders>
            <w:shd w:val="clear" w:color="auto" w:fill="auto"/>
            <w:noWrap/>
            <w:vAlign w:val="bottom"/>
            <w:hideMark/>
          </w:tcPr>
          <w:p w14:paraId="2F67D687"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$112.32</w:t>
            </w:r>
          </w:p>
        </w:tc>
        <w:tc>
          <w:tcPr>
            <w:tcW w:w="744" w:type="pct"/>
            <w:tcBorders>
              <w:top w:val="nil"/>
              <w:left w:val="nil"/>
              <w:bottom w:val="nil"/>
              <w:right w:val="nil"/>
            </w:tcBorders>
            <w:shd w:val="clear" w:color="auto" w:fill="auto"/>
            <w:noWrap/>
            <w:vAlign w:val="bottom"/>
            <w:hideMark/>
          </w:tcPr>
          <w:p w14:paraId="3D9DCD7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$115.02</w:t>
            </w:r>
          </w:p>
        </w:tc>
        <w:tc>
          <w:tcPr>
            <w:tcW w:w="744" w:type="pct"/>
            <w:tcBorders>
              <w:top w:val="nil"/>
              <w:left w:val="nil"/>
              <w:bottom w:val="nil"/>
              <w:right w:val="nil"/>
            </w:tcBorders>
            <w:shd w:val="clear" w:color="auto" w:fill="auto"/>
            <w:noWrap/>
            <w:vAlign w:val="bottom"/>
            <w:hideMark/>
          </w:tcPr>
          <w:p w14:paraId="69E1031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$128.30</w:t>
            </w:r>
          </w:p>
        </w:tc>
        <w:tc>
          <w:tcPr>
            <w:tcW w:w="743" w:type="pct"/>
            <w:tcBorders>
              <w:top w:val="nil"/>
              <w:left w:val="nil"/>
              <w:bottom w:val="nil"/>
              <w:right w:val="nil"/>
            </w:tcBorders>
            <w:shd w:val="clear" w:color="auto" w:fill="auto"/>
            <w:noWrap/>
            <w:vAlign w:val="bottom"/>
            <w:hideMark/>
          </w:tcPr>
          <w:p w14:paraId="78403230"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$136.21</w:t>
            </w:r>
          </w:p>
        </w:tc>
      </w:tr>
      <w:tr w:rsidR="00273DA4" w:rsidRPr="000A1558" w14:paraId="2F4A4717" w14:textId="77777777" w:rsidTr="002B78A0">
        <w:trPr>
          <w:trHeight w:val="320"/>
        </w:trPr>
        <w:tc>
          <w:tcPr>
            <w:tcW w:w="1281" w:type="pct"/>
            <w:tcBorders>
              <w:top w:val="nil"/>
              <w:left w:val="nil"/>
              <w:bottom w:val="nil"/>
              <w:right w:val="nil"/>
            </w:tcBorders>
            <w:shd w:val="clear" w:color="auto" w:fill="auto"/>
            <w:noWrap/>
            <w:vAlign w:val="bottom"/>
            <w:hideMark/>
          </w:tcPr>
          <w:p w14:paraId="0E09D4A4"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2A2F56F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[$22.92}</w:t>
            </w:r>
          </w:p>
        </w:tc>
        <w:tc>
          <w:tcPr>
            <w:tcW w:w="744" w:type="pct"/>
            <w:tcBorders>
              <w:top w:val="nil"/>
              <w:left w:val="nil"/>
              <w:bottom w:val="nil"/>
              <w:right w:val="nil"/>
            </w:tcBorders>
            <w:shd w:val="clear" w:color="auto" w:fill="auto"/>
            <w:noWrap/>
            <w:vAlign w:val="bottom"/>
            <w:hideMark/>
          </w:tcPr>
          <w:p w14:paraId="7528353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[$20.42]</w:t>
            </w:r>
          </w:p>
        </w:tc>
        <w:tc>
          <w:tcPr>
            <w:tcW w:w="744" w:type="pct"/>
            <w:tcBorders>
              <w:top w:val="nil"/>
              <w:left w:val="nil"/>
              <w:bottom w:val="nil"/>
              <w:right w:val="nil"/>
            </w:tcBorders>
            <w:shd w:val="clear" w:color="auto" w:fill="auto"/>
            <w:noWrap/>
            <w:vAlign w:val="bottom"/>
            <w:hideMark/>
          </w:tcPr>
          <w:p w14:paraId="228D957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[$21.16]</w:t>
            </w:r>
          </w:p>
        </w:tc>
        <w:tc>
          <w:tcPr>
            <w:tcW w:w="744" w:type="pct"/>
            <w:tcBorders>
              <w:top w:val="nil"/>
              <w:left w:val="nil"/>
              <w:bottom w:val="nil"/>
              <w:right w:val="nil"/>
            </w:tcBorders>
            <w:shd w:val="clear" w:color="auto" w:fill="auto"/>
            <w:noWrap/>
            <w:vAlign w:val="bottom"/>
            <w:hideMark/>
          </w:tcPr>
          <w:p w14:paraId="2CAC731D"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[$23.10]</w:t>
            </w:r>
          </w:p>
        </w:tc>
        <w:tc>
          <w:tcPr>
            <w:tcW w:w="743" w:type="pct"/>
            <w:tcBorders>
              <w:top w:val="nil"/>
              <w:left w:val="nil"/>
              <w:bottom w:val="nil"/>
              <w:right w:val="nil"/>
            </w:tcBorders>
            <w:shd w:val="clear" w:color="auto" w:fill="auto"/>
            <w:noWrap/>
            <w:vAlign w:val="bottom"/>
            <w:hideMark/>
          </w:tcPr>
          <w:p w14:paraId="6EC8FACC"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[$24.34]</w:t>
            </w:r>
          </w:p>
        </w:tc>
      </w:tr>
      <w:tr w:rsidR="002B78A0" w:rsidRPr="000A1558" w14:paraId="4932681D" w14:textId="77777777" w:rsidTr="002B78A0">
        <w:trPr>
          <w:trHeight w:val="320"/>
        </w:trPr>
        <w:tc>
          <w:tcPr>
            <w:tcW w:w="1281" w:type="pct"/>
            <w:tcBorders>
              <w:top w:val="nil"/>
              <w:left w:val="nil"/>
              <w:bottom w:val="nil"/>
              <w:right w:val="nil"/>
            </w:tcBorders>
            <w:shd w:val="clear" w:color="auto" w:fill="auto"/>
            <w:noWrap/>
            <w:vAlign w:val="bottom"/>
          </w:tcPr>
          <w:p w14:paraId="4F96153F" w14:textId="77777777" w:rsidR="002B78A0" w:rsidRPr="000A1558" w:rsidRDefault="002B78A0" w:rsidP="002B78A0">
            <w:pPr>
              <w:rPr>
                <w:rFonts w:eastAsia="Times New Roman" w:cstheme="minorHAnsi"/>
                <w:color w:val="000000"/>
                <w:sz w:val="22"/>
                <w:szCs w:val="22"/>
              </w:rPr>
            </w:pPr>
            <w:r w:rsidRPr="000A1558">
              <w:rPr>
                <w:rFonts w:eastAsia="Times New Roman" w:cstheme="minorHAnsi"/>
                <w:color w:val="000000"/>
                <w:sz w:val="22"/>
                <w:szCs w:val="22"/>
              </w:rPr>
              <w:t>Other operating cost</w:t>
            </w:r>
            <w:r w:rsidRPr="000A1558">
              <w:rPr>
                <w:rFonts w:eastAsia="Times New Roman" w:cstheme="minorHAnsi"/>
                <w:color w:val="000000"/>
                <w:sz w:val="22"/>
                <w:szCs w:val="22"/>
                <w:vertAlign w:val="superscript"/>
              </w:rPr>
              <w:t>a</w:t>
            </w:r>
          </w:p>
        </w:tc>
        <w:tc>
          <w:tcPr>
            <w:tcW w:w="744" w:type="pct"/>
            <w:tcBorders>
              <w:top w:val="nil"/>
              <w:left w:val="nil"/>
              <w:bottom w:val="nil"/>
              <w:right w:val="nil"/>
            </w:tcBorders>
            <w:shd w:val="clear" w:color="auto" w:fill="auto"/>
            <w:noWrap/>
            <w:vAlign w:val="bottom"/>
          </w:tcPr>
          <w:p w14:paraId="4BB9EE33"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$60.98</w:t>
            </w:r>
          </w:p>
        </w:tc>
        <w:tc>
          <w:tcPr>
            <w:tcW w:w="744" w:type="pct"/>
            <w:tcBorders>
              <w:top w:val="nil"/>
              <w:left w:val="nil"/>
              <w:bottom w:val="nil"/>
              <w:right w:val="nil"/>
            </w:tcBorders>
            <w:shd w:val="clear" w:color="auto" w:fill="auto"/>
            <w:noWrap/>
            <w:vAlign w:val="bottom"/>
          </w:tcPr>
          <w:p w14:paraId="36F3EBFA"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$64.36</w:t>
            </w:r>
          </w:p>
        </w:tc>
        <w:tc>
          <w:tcPr>
            <w:tcW w:w="744" w:type="pct"/>
            <w:tcBorders>
              <w:top w:val="nil"/>
              <w:left w:val="nil"/>
              <w:bottom w:val="nil"/>
              <w:right w:val="nil"/>
            </w:tcBorders>
            <w:shd w:val="clear" w:color="auto" w:fill="auto"/>
            <w:noWrap/>
            <w:vAlign w:val="bottom"/>
          </w:tcPr>
          <w:p w14:paraId="46B09A4E"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$65.33</w:t>
            </w:r>
          </w:p>
        </w:tc>
        <w:tc>
          <w:tcPr>
            <w:tcW w:w="744" w:type="pct"/>
            <w:tcBorders>
              <w:top w:val="nil"/>
              <w:left w:val="nil"/>
              <w:bottom w:val="nil"/>
              <w:right w:val="nil"/>
            </w:tcBorders>
            <w:shd w:val="clear" w:color="auto" w:fill="auto"/>
            <w:noWrap/>
            <w:vAlign w:val="bottom"/>
          </w:tcPr>
          <w:p w14:paraId="001C7CEE"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$70.26</w:t>
            </w:r>
          </w:p>
        </w:tc>
        <w:tc>
          <w:tcPr>
            <w:tcW w:w="743" w:type="pct"/>
            <w:tcBorders>
              <w:top w:val="nil"/>
              <w:left w:val="nil"/>
              <w:bottom w:val="nil"/>
              <w:right w:val="nil"/>
            </w:tcBorders>
            <w:shd w:val="clear" w:color="auto" w:fill="auto"/>
            <w:noWrap/>
            <w:vAlign w:val="bottom"/>
          </w:tcPr>
          <w:p w14:paraId="5FF15ABA"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$74.00</w:t>
            </w:r>
          </w:p>
        </w:tc>
      </w:tr>
      <w:tr w:rsidR="002B78A0" w:rsidRPr="000A1558" w14:paraId="589C88CC" w14:textId="77777777" w:rsidTr="002B78A0">
        <w:trPr>
          <w:trHeight w:val="320"/>
        </w:trPr>
        <w:tc>
          <w:tcPr>
            <w:tcW w:w="1281" w:type="pct"/>
            <w:tcBorders>
              <w:top w:val="nil"/>
              <w:left w:val="nil"/>
              <w:bottom w:val="nil"/>
              <w:right w:val="nil"/>
            </w:tcBorders>
            <w:shd w:val="clear" w:color="auto" w:fill="auto"/>
            <w:noWrap/>
            <w:vAlign w:val="bottom"/>
          </w:tcPr>
          <w:p w14:paraId="2DD100E5" w14:textId="77777777" w:rsidR="002B78A0" w:rsidRPr="000A1558" w:rsidRDefault="002B78A0" w:rsidP="002B78A0">
            <w:pPr>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tcPr>
          <w:p w14:paraId="461C1B4C"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[$14.12]</w:t>
            </w:r>
          </w:p>
        </w:tc>
        <w:tc>
          <w:tcPr>
            <w:tcW w:w="744" w:type="pct"/>
            <w:tcBorders>
              <w:top w:val="nil"/>
              <w:left w:val="nil"/>
              <w:bottom w:val="nil"/>
              <w:right w:val="nil"/>
            </w:tcBorders>
            <w:shd w:val="clear" w:color="auto" w:fill="auto"/>
            <w:noWrap/>
            <w:vAlign w:val="bottom"/>
          </w:tcPr>
          <w:p w14:paraId="3F4FFEBD"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[$15.39]</w:t>
            </w:r>
          </w:p>
        </w:tc>
        <w:tc>
          <w:tcPr>
            <w:tcW w:w="744" w:type="pct"/>
            <w:tcBorders>
              <w:top w:val="nil"/>
              <w:left w:val="nil"/>
              <w:bottom w:val="nil"/>
              <w:right w:val="nil"/>
            </w:tcBorders>
            <w:shd w:val="clear" w:color="auto" w:fill="auto"/>
            <w:noWrap/>
            <w:vAlign w:val="bottom"/>
          </w:tcPr>
          <w:p w14:paraId="7AEC611D"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[$17.23]</w:t>
            </w:r>
          </w:p>
        </w:tc>
        <w:tc>
          <w:tcPr>
            <w:tcW w:w="744" w:type="pct"/>
            <w:tcBorders>
              <w:top w:val="nil"/>
              <w:left w:val="nil"/>
              <w:bottom w:val="nil"/>
              <w:right w:val="nil"/>
            </w:tcBorders>
            <w:shd w:val="clear" w:color="auto" w:fill="auto"/>
            <w:noWrap/>
            <w:vAlign w:val="bottom"/>
          </w:tcPr>
          <w:p w14:paraId="5956882D"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[$17.27]</w:t>
            </w:r>
          </w:p>
        </w:tc>
        <w:tc>
          <w:tcPr>
            <w:tcW w:w="743" w:type="pct"/>
            <w:tcBorders>
              <w:top w:val="nil"/>
              <w:left w:val="nil"/>
              <w:bottom w:val="nil"/>
              <w:right w:val="nil"/>
            </w:tcBorders>
            <w:shd w:val="clear" w:color="auto" w:fill="auto"/>
            <w:noWrap/>
            <w:vAlign w:val="bottom"/>
          </w:tcPr>
          <w:p w14:paraId="67B2FCE3" w14:textId="77777777" w:rsidR="002B78A0" w:rsidRPr="002B78A0" w:rsidRDefault="002B78A0" w:rsidP="002B78A0">
            <w:pPr>
              <w:jc w:val="right"/>
              <w:rPr>
                <w:rFonts w:eastAsia="Times New Roman" w:cstheme="minorHAnsi"/>
                <w:color w:val="000000"/>
                <w:sz w:val="22"/>
                <w:szCs w:val="22"/>
              </w:rPr>
            </w:pPr>
            <w:r w:rsidRPr="002B78A0">
              <w:rPr>
                <w:rFonts w:eastAsia="Times New Roman" w:cstheme="minorHAnsi"/>
                <w:color w:val="000000"/>
                <w:sz w:val="22"/>
                <w:szCs w:val="22"/>
              </w:rPr>
              <w:t>[$18.22]</w:t>
            </w:r>
          </w:p>
        </w:tc>
      </w:tr>
      <w:tr w:rsidR="00273DA4" w:rsidRPr="000A1558" w14:paraId="5E7EE381" w14:textId="77777777" w:rsidTr="002B78A0">
        <w:trPr>
          <w:trHeight w:val="320"/>
        </w:trPr>
        <w:tc>
          <w:tcPr>
            <w:tcW w:w="1281" w:type="pct"/>
            <w:tcBorders>
              <w:top w:val="nil"/>
              <w:left w:val="nil"/>
              <w:bottom w:val="nil"/>
              <w:right w:val="nil"/>
            </w:tcBorders>
            <w:shd w:val="clear" w:color="auto" w:fill="auto"/>
            <w:noWrap/>
            <w:vAlign w:val="bottom"/>
            <w:hideMark/>
          </w:tcPr>
          <w:p w14:paraId="0838EF60"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Total cost</w:t>
            </w:r>
            <w:r w:rsidR="002B78A0" w:rsidRPr="000A1558">
              <w:rPr>
                <w:rFonts w:eastAsia="Times New Roman" w:cstheme="minorHAnsi"/>
                <w:color w:val="000000"/>
                <w:sz w:val="22"/>
                <w:szCs w:val="22"/>
                <w:vertAlign w:val="superscript"/>
              </w:rPr>
              <w:t>a</w:t>
            </w:r>
          </w:p>
        </w:tc>
        <w:tc>
          <w:tcPr>
            <w:tcW w:w="744" w:type="pct"/>
            <w:tcBorders>
              <w:top w:val="nil"/>
              <w:left w:val="nil"/>
              <w:bottom w:val="nil"/>
              <w:right w:val="nil"/>
            </w:tcBorders>
            <w:shd w:val="clear" w:color="auto" w:fill="auto"/>
            <w:noWrap/>
            <w:vAlign w:val="bottom"/>
            <w:hideMark/>
          </w:tcPr>
          <w:p w14:paraId="0B43F39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$171.68</w:t>
            </w:r>
          </w:p>
        </w:tc>
        <w:tc>
          <w:tcPr>
            <w:tcW w:w="744" w:type="pct"/>
            <w:tcBorders>
              <w:top w:val="nil"/>
              <w:left w:val="nil"/>
              <w:bottom w:val="nil"/>
              <w:right w:val="nil"/>
            </w:tcBorders>
            <w:shd w:val="clear" w:color="auto" w:fill="auto"/>
            <w:noWrap/>
            <w:vAlign w:val="bottom"/>
            <w:hideMark/>
          </w:tcPr>
          <w:p w14:paraId="48E5C1A6"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$176.68</w:t>
            </w:r>
          </w:p>
        </w:tc>
        <w:tc>
          <w:tcPr>
            <w:tcW w:w="744" w:type="pct"/>
            <w:tcBorders>
              <w:top w:val="nil"/>
              <w:left w:val="nil"/>
              <w:bottom w:val="nil"/>
              <w:right w:val="nil"/>
            </w:tcBorders>
            <w:shd w:val="clear" w:color="auto" w:fill="auto"/>
            <w:noWrap/>
            <w:vAlign w:val="bottom"/>
            <w:hideMark/>
          </w:tcPr>
          <w:p w14:paraId="3142E18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$180.35</w:t>
            </w:r>
          </w:p>
        </w:tc>
        <w:tc>
          <w:tcPr>
            <w:tcW w:w="744" w:type="pct"/>
            <w:tcBorders>
              <w:top w:val="nil"/>
              <w:left w:val="nil"/>
              <w:bottom w:val="nil"/>
              <w:right w:val="nil"/>
            </w:tcBorders>
            <w:shd w:val="clear" w:color="auto" w:fill="auto"/>
            <w:noWrap/>
            <w:vAlign w:val="bottom"/>
            <w:hideMark/>
          </w:tcPr>
          <w:p w14:paraId="6DD4062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$198.55</w:t>
            </w:r>
          </w:p>
        </w:tc>
        <w:tc>
          <w:tcPr>
            <w:tcW w:w="743" w:type="pct"/>
            <w:tcBorders>
              <w:top w:val="nil"/>
              <w:left w:val="nil"/>
              <w:bottom w:val="nil"/>
              <w:right w:val="nil"/>
            </w:tcBorders>
            <w:shd w:val="clear" w:color="auto" w:fill="auto"/>
            <w:noWrap/>
            <w:vAlign w:val="bottom"/>
            <w:hideMark/>
          </w:tcPr>
          <w:p w14:paraId="79FC48B9"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$210.21</w:t>
            </w:r>
          </w:p>
        </w:tc>
      </w:tr>
      <w:tr w:rsidR="00273DA4" w:rsidRPr="000A1558" w14:paraId="7B800C38" w14:textId="77777777" w:rsidTr="002B78A0">
        <w:trPr>
          <w:trHeight w:val="320"/>
        </w:trPr>
        <w:tc>
          <w:tcPr>
            <w:tcW w:w="1281" w:type="pct"/>
            <w:tcBorders>
              <w:top w:val="nil"/>
              <w:left w:val="nil"/>
              <w:bottom w:val="nil"/>
              <w:right w:val="nil"/>
            </w:tcBorders>
            <w:shd w:val="clear" w:color="auto" w:fill="auto"/>
            <w:noWrap/>
            <w:vAlign w:val="bottom"/>
            <w:hideMark/>
          </w:tcPr>
          <w:p w14:paraId="44EAC745"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7DEB821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[$32.77]</w:t>
            </w:r>
          </w:p>
        </w:tc>
        <w:tc>
          <w:tcPr>
            <w:tcW w:w="744" w:type="pct"/>
            <w:tcBorders>
              <w:top w:val="nil"/>
              <w:left w:val="nil"/>
              <w:bottom w:val="nil"/>
              <w:right w:val="nil"/>
            </w:tcBorders>
            <w:shd w:val="clear" w:color="auto" w:fill="auto"/>
            <w:noWrap/>
            <w:vAlign w:val="bottom"/>
            <w:hideMark/>
          </w:tcPr>
          <w:p w14:paraId="4EEBDA3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[$31.06]</w:t>
            </w:r>
          </w:p>
        </w:tc>
        <w:tc>
          <w:tcPr>
            <w:tcW w:w="744" w:type="pct"/>
            <w:tcBorders>
              <w:top w:val="nil"/>
              <w:left w:val="nil"/>
              <w:bottom w:val="nil"/>
              <w:right w:val="nil"/>
            </w:tcBorders>
            <w:shd w:val="clear" w:color="auto" w:fill="auto"/>
            <w:noWrap/>
            <w:vAlign w:val="bottom"/>
            <w:hideMark/>
          </w:tcPr>
          <w:p w14:paraId="491F730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[$33.10]</w:t>
            </w:r>
          </w:p>
        </w:tc>
        <w:tc>
          <w:tcPr>
            <w:tcW w:w="744" w:type="pct"/>
            <w:tcBorders>
              <w:top w:val="nil"/>
              <w:left w:val="nil"/>
              <w:bottom w:val="nil"/>
              <w:right w:val="nil"/>
            </w:tcBorders>
            <w:shd w:val="clear" w:color="auto" w:fill="auto"/>
            <w:noWrap/>
            <w:vAlign w:val="bottom"/>
            <w:hideMark/>
          </w:tcPr>
          <w:p w14:paraId="568CC7D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[$34.60]</w:t>
            </w:r>
          </w:p>
        </w:tc>
        <w:tc>
          <w:tcPr>
            <w:tcW w:w="743" w:type="pct"/>
            <w:tcBorders>
              <w:top w:val="nil"/>
              <w:left w:val="nil"/>
              <w:bottom w:val="nil"/>
              <w:right w:val="nil"/>
            </w:tcBorders>
            <w:shd w:val="clear" w:color="auto" w:fill="auto"/>
            <w:noWrap/>
            <w:vAlign w:val="bottom"/>
            <w:hideMark/>
          </w:tcPr>
          <w:p w14:paraId="71DB0C9E"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[$36.63]</w:t>
            </w:r>
          </w:p>
        </w:tc>
      </w:tr>
      <w:tr w:rsidR="00273DA4" w:rsidRPr="000A1558" w14:paraId="7DBCBBEE" w14:textId="77777777" w:rsidTr="002B78A0">
        <w:trPr>
          <w:trHeight w:val="320"/>
        </w:trPr>
        <w:tc>
          <w:tcPr>
            <w:tcW w:w="1281" w:type="pct"/>
            <w:tcBorders>
              <w:top w:val="nil"/>
              <w:left w:val="nil"/>
              <w:bottom w:val="nil"/>
              <w:right w:val="nil"/>
            </w:tcBorders>
            <w:shd w:val="clear" w:color="auto" w:fill="auto"/>
            <w:noWrap/>
            <w:vAlign w:val="bottom"/>
            <w:hideMark/>
          </w:tcPr>
          <w:p w14:paraId="7A61C63D"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 xml:space="preserve">Care related % of </w:t>
            </w:r>
            <w:r w:rsidR="002B78A0" w:rsidRPr="000A1558">
              <w:rPr>
                <w:rFonts w:eastAsia="Times New Roman" w:cstheme="minorHAnsi"/>
                <w:color w:val="000000"/>
                <w:sz w:val="22"/>
                <w:szCs w:val="22"/>
              </w:rPr>
              <w:t>t</w:t>
            </w:r>
            <w:r w:rsidRPr="000A1558">
              <w:rPr>
                <w:rFonts w:eastAsia="Times New Roman" w:cstheme="minorHAnsi"/>
                <w:color w:val="000000"/>
                <w:sz w:val="22"/>
                <w:szCs w:val="22"/>
              </w:rPr>
              <w:t>otal</w:t>
            </w:r>
          </w:p>
        </w:tc>
        <w:tc>
          <w:tcPr>
            <w:tcW w:w="744" w:type="pct"/>
            <w:tcBorders>
              <w:top w:val="nil"/>
              <w:left w:val="nil"/>
              <w:bottom w:val="nil"/>
              <w:right w:val="nil"/>
            </w:tcBorders>
            <w:shd w:val="clear" w:color="auto" w:fill="auto"/>
            <w:noWrap/>
            <w:vAlign w:val="bottom"/>
            <w:hideMark/>
          </w:tcPr>
          <w:p w14:paraId="13FF02C8"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64.4%</w:t>
            </w:r>
          </w:p>
        </w:tc>
        <w:tc>
          <w:tcPr>
            <w:tcW w:w="744" w:type="pct"/>
            <w:tcBorders>
              <w:top w:val="nil"/>
              <w:left w:val="nil"/>
              <w:bottom w:val="nil"/>
              <w:right w:val="nil"/>
            </w:tcBorders>
            <w:shd w:val="clear" w:color="auto" w:fill="auto"/>
            <w:noWrap/>
            <w:vAlign w:val="bottom"/>
            <w:hideMark/>
          </w:tcPr>
          <w:p w14:paraId="391A666F"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63.6%</w:t>
            </w:r>
          </w:p>
        </w:tc>
        <w:tc>
          <w:tcPr>
            <w:tcW w:w="744" w:type="pct"/>
            <w:tcBorders>
              <w:top w:val="nil"/>
              <w:left w:val="nil"/>
              <w:bottom w:val="nil"/>
              <w:right w:val="nil"/>
            </w:tcBorders>
            <w:shd w:val="clear" w:color="auto" w:fill="auto"/>
            <w:noWrap/>
            <w:vAlign w:val="bottom"/>
            <w:hideMark/>
          </w:tcPr>
          <w:p w14:paraId="44D8778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63.9%</w:t>
            </w:r>
          </w:p>
        </w:tc>
        <w:tc>
          <w:tcPr>
            <w:tcW w:w="744" w:type="pct"/>
            <w:tcBorders>
              <w:top w:val="nil"/>
              <w:left w:val="nil"/>
              <w:bottom w:val="nil"/>
              <w:right w:val="nil"/>
            </w:tcBorders>
            <w:shd w:val="clear" w:color="auto" w:fill="auto"/>
            <w:noWrap/>
            <w:vAlign w:val="bottom"/>
            <w:hideMark/>
          </w:tcPr>
          <w:p w14:paraId="3F6D7F2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64.7%</w:t>
            </w:r>
          </w:p>
        </w:tc>
        <w:tc>
          <w:tcPr>
            <w:tcW w:w="743" w:type="pct"/>
            <w:tcBorders>
              <w:top w:val="nil"/>
              <w:left w:val="nil"/>
              <w:bottom w:val="nil"/>
              <w:right w:val="nil"/>
            </w:tcBorders>
            <w:shd w:val="clear" w:color="auto" w:fill="auto"/>
            <w:noWrap/>
            <w:vAlign w:val="bottom"/>
            <w:hideMark/>
          </w:tcPr>
          <w:p w14:paraId="66B30B1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64.9%</w:t>
            </w:r>
          </w:p>
        </w:tc>
      </w:tr>
      <w:tr w:rsidR="00273DA4" w:rsidRPr="000A1558" w14:paraId="2364C759" w14:textId="77777777" w:rsidTr="002B78A0">
        <w:trPr>
          <w:trHeight w:val="320"/>
        </w:trPr>
        <w:tc>
          <w:tcPr>
            <w:tcW w:w="1281" w:type="pct"/>
            <w:tcBorders>
              <w:top w:val="nil"/>
              <w:left w:val="nil"/>
              <w:bottom w:val="nil"/>
              <w:right w:val="nil"/>
            </w:tcBorders>
            <w:shd w:val="clear" w:color="auto" w:fill="auto"/>
            <w:noWrap/>
            <w:vAlign w:val="bottom"/>
            <w:hideMark/>
          </w:tcPr>
          <w:p w14:paraId="4C82861B"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nil"/>
              <w:right w:val="nil"/>
            </w:tcBorders>
            <w:shd w:val="clear" w:color="auto" w:fill="auto"/>
            <w:noWrap/>
            <w:vAlign w:val="bottom"/>
            <w:hideMark/>
          </w:tcPr>
          <w:p w14:paraId="465FA25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[4.6%]</w:t>
            </w:r>
          </w:p>
        </w:tc>
        <w:tc>
          <w:tcPr>
            <w:tcW w:w="744" w:type="pct"/>
            <w:tcBorders>
              <w:top w:val="nil"/>
              <w:left w:val="nil"/>
              <w:bottom w:val="nil"/>
              <w:right w:val="nil"/>
            </w:tcBorders>
            <w:shd w:val="clear" w:color="auto" w:fill="auto"/>
            <w:noWrap/>
            <w:vAlign w:val="bottom"/>
            <w:hideMark/>
          </w:tcPr>
          <w:p w14:paraId="5DE37FA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[4.7%]</w:t>
            </w:r>
          </w:p>
        </w:tc>
        <w:tc>
          <w:tcPr>
            <w:tcW w:w="744" w:type="pct"/>
            <w:tcBorders>
              <w:top w:val="nil"/>
              <w:left w:val="nil"/>
              <w:bottom w:val="nil"/>
              <w:right w:val="nil"/>
            </w:tcBorders>
            <w:shd w:val="clear" w:color="auto" w:fill="auto"/>
            <w:noWrap/>
            <w:vAlign w:val="bottom"/>
            <w:hideMark/>
          </w:tcPr>
          <w:p w14:paraId="7BA41AC7"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[4.9%]</w:t>
            </w:r>
          </w:p>
        </w:tc>
        <w:tc>
          <w:tcPr>
            <w:tcW w:w="744" w:type="pct"/>
            <w:tcBorders>
              <w:top w:val="nil"/>
              <w:left w:val="nil"/>
              <w:bottom w:val="nil"/>
              <w:right w:val="nil"/>
            </w:tcBorders>
            <w:shd w:val="clear" w:color="auto" w:fill="auto"/>
            <w:noWrap/>
            <w:vAlign w:val="bottom"/>
            <w:hideMark/>
          </w:tcPr>
          <w:p w14:paraId="61A43595"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[4.8%]</w:t>
            </w:r>
          </w:p>
        </w:tc>
        <w:tc>
          <w:tcPr>
            <w:tcW w:w="743" w:type="pct"/>
            <w:tcBorders>
              <w:top w:val="nil"/>
              <w:left w:val="nil"/>
              <w:bottom w:val="nil"/>
              <w:right w:val="nil"/>
            </w:tcBorders>
            <w:shd w:val="clear" w:color="auto" w:fill="auto"/>
            <w:noWrap/>
            <w:vAlign w:val="bottom"/>
            <w:hideMark/>
          </w:tcPr>
          <w:p w14:paraId="73A8878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[4.7%]</w:t>
            </w:r>
          </w:p>
        </w:tc>
      </w:tr>
      <w:tr w:rsidR="00273DA4" w:rsidRPr="000A1558" w14:paraId="228FBB55" w14:textId="77777777" w:rsidTr="002B78A0">
        <w:trPr>
          <w:trHeight w:val="320"/>
        </w:trPr>
        <w:tc>
          <w:tcPr>
            <w:tcW w:w="1281" w:type="pct"/>
            <w:tcBorders>
              <w:top w:val="nil"/>
              <w:left w:val="nil"/>
              <w:right w:val="nil"/>
            </w:tcBorders>
            <w:shd w:val="clear" w:color="auto" w:fill="auto"/>
            <w:noWrap/>
            <w:vAlign w:val="bottom"/>
            <w:hideMark/>
          </w:tcPr>
          <w:p w14:paraId="6C4071E1" w14:textId="77777777" w:rsidR="00273DA4" w:rsidRPr="000A1558" w:rsidRDefault="00273DA4" w:rsidP="00273DA4">
            <w:pPr>
              <w:rPr>
                <w:rFonts w:eastAsia="Times New Roman" w:cstheme="minorHAnsi"/>
                <w:color w:val="000000"/>
                <w:sz w:val="22"/>
                <w:szCs w:val="22"/>
              </w:rPr>
            </w:pPr>
            <w:r w:rsidRPr="000A1558">
              <w:rPr>
                <w:rFonts w:eastAsia="Times New Roman" w:cstheme="minorHAnsi"/>
                <w:color w:val="000000"/>
                <w:sz w:val="22"/>
                <w:szCs w:val="22"/>
              </w:rPr>
              <w:t>VBR quality score</w:t>
            </w:r>
          </w:p>
        </w:tc>
        <w:tc>
          <w:tcPr>
            <w:tcW w:w="744" w:type="pct"/>
            <w:tcBorders>
              <w:top w:val="nil"/>
              <w:left w:val="nil"/>
              <w:right w:val="nil"/>
            </w:tcBorders>
            <w:shd w:val="clear" w:color="auto" w:fill="auto"/>
            <w:noWrap/>
            <w:vAlign w:val="bottom"/>
            <w:hideMark/>
          </w:tcPr>
          <w:p w14:paraId="7F5DA8B0"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75.3</w:t>
            </w:r>
          </w:p>
        </w:tc>
        <w:tc>
          <w:tcPr>
            <w:tcW w:w="744" w:type="pct"/>
            <w:tcBorders>
              <w:top w:val="nil"/>
              <w:left w:val="nil"/>
              <w:right w:val="nil"/>
            </w:tcBorders>
            <w:shd w:val="clear" w:color="auto" w:fill="auto"/>
            <w:noWrap/>
            <w:vAlign w:val="bottom"/>
            <w:hideMark/>
          </w:tcPr>
          <w:p w14:paraId="471D7421"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76.0</w:t>
            </w:r>
          </w:p>
        </w:tc>
        <w:tc>
          <w:tcPr>
            <w:tcW w:w="744" w:type="pct"/>
            <w:tcBorders>
              <w:top w:val="nil"/>
              <w:left w:val="nil"/>
              <w:right w:val="nil"/>
            </w:tcBorders>
            <w:shd w:val="clear" w:color="auto" w:fill="auto"/>
            <w:noWrap/>
            <w:vAlign w:val="bottom"/>
            <w:hideMark/>
          </w:tcPr>
          <w:p w14:paraId="4FFCEA2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76.5</w:t>
            </w:r>
          </w:p>
        </w:tc>
        <w:tc>
          <w:tcPr>
            <w:tcW w:w="744" w:type="pct"/>
            <w:tcBorders>
              <w:top w:val="nil"/>
              <w:left w:val="nil"/>
              <w:right w:val="nil"/>
            </w:tcBorders>
            <w:shd w:val="clear" w:color="auto" w:fill="auto"/>
            <w:noWrap/>
            <w:vAlign w:val="bottom"/>
            <w:hideMark/>
          </w:tcPr>
          <w:p w14:paraId="34AEF384"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77.1</w:t>
            </w:r>
          </w:p>
        </w:tc>
        <w:tc>
          <w:tcPr>
            <w:tcW w:w="743" w:type="pct"/>
            <w:tcBorders>
              <w:top w:val="nil"/>
              <w:left w:val="nil"/>
              <w:right w:val="nil"/>
            </w:tcBorders>
            <w:shd w:val="clear" w:color="auto" w:fill="auto"/>
            <w:noWrap/>
            <w:vAlign w:val="bottom"/>
            <w:hideMark/>
          </w:tcPr>
          <w:p w14:paraId="36C0EEA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77.4</w:t>
            </w:r>
          </w:p>
        </w:tc>
      </w:tr>
      <w:tr w:rsidR="00273DA4" w:rsidRPr="000A1558" w14:paraId="4BA28D62" w14:textId="77777777" w:rsidTr="002B78A0">
        <w:trPr>
          <w:trHeight w:val="320"/>
        </w:trPr>
        <w:tc>
          <w:tcPr>
            <w:tcW w:w="1281" w:type="pct"/>
            <w:tcBorders>
              <w:top w:val="nil"/>
              <w:left w:val="nil"/>
              <w:bottom w:val="single" w:sz="4" w:space="0" w:color="auto"/>
              <w:right w:val="nil"/>
            </w:tcBorders>
            <w:shd w:val="clear" w:color="auto" w:fill="auto"/>
            <w:noWrap/>
            <w:vAlign w:val="bottom"/>
            <w:hideMark/>
          </w:tcPr>
          <w:p w14:paraId="7F1276BB" w14:textId="77777777" w:rsidR="00273DA4" w:rsidRPr="000A1558" w:rsidRDefault="00273DA4" w:rsidP="00273DA4">
            <w:pPr>
              <w:jc w:val="right"/>
              <w:rPr>
                <w:rFonts w:eastAsia="Times New Roman" w:cstheme="minorHAnsi"/>
                <w:color w:val="000000"/>
                <w:sz w:val="22"/>
                <w:szCs w:val="22"/>
              </w:rPr>
            </w:pPr>
          </w:p>
        </w:tc>
        <w:tc>
          <w:tcPr>
            <w:tcW w:w="744" w:type="pct"/>
            <w:tcBorders>
              <w:top w:val="nil"/>
              <w:left w:val="nil"/>
              <w:bottom w:val="single" w:sz="4" w:space="0" w:color="auto"/>
              <w:right w:val="nil"/>
            </w:tcBorders>
            <w:shd w:val="clear" w:color="auto" w:fill="auto"/>
            <w:noWrap/>
            <w:vAlign w:val="bottom"/>
            <w:hideMark/>
          </w:tcPr>
          <w:p w14:paraId="0261CF6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4" w:type="pct"/>
            <w:tcBorders>
              <w:top w:val="nil"/>
              <w:left w:val="nil"/>
              <w:bottom w:val="single" w:sz="4" w:space="0" w:color="auto"/>
              <w:right w:val="nil"/>
            </w:tcBorders>
            <w:shd w:val="clear" w:color="auto" w:fill="auto"/>
            <w:noWrap/>
            <w:vAlign w:val="bottom"/>
            <w:hideMark/>
          </w:tcPr>
          <w:p w14:paraId="7D5DA85B"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[5.8]</w:t>
            </w:r>
          </w:p>
        </w:tc>
        <w:tc>
          <w:tcPr>
            <w:tcW w:w="744" w:type="pct"/>
            <w:tcBorders>
              <w:top w:val="nil"/>
              <w:left w:val="nil"/>
              <w:bottom w:val="single" w:sz="4" w:space="0" w:color="auto"/>
              <w:right w:val="nil"/>
            </w:tcBorders>
            <w:shd w:val="clear" w:color="auto" w:fill="auto"/>
            <w:noWrap/>
            <w:vAlign w:val="bottom"/>
            <w:hideMark/>
          </w:tcPr>
          <w:p w14:paraId="0D10AF63"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[6.4]</w:t>
            </w:r>
          </w:p>
        </w:tc>
        <w:tc>
          <w:tcPr>
            <w:tcW w:w="744" w:type="pct"/>
            <w:tcBorders>
              <w:top w:val="nil"/>
              <w:left w:val="nil"/>
              <w:bottom w:val="single" w:sz="4" w:space="0" w:color="auto"/>
              <w:right w:val="nil"/>
            </w:tcBorders>
            <w:shd w:val="clear" w:color="auto" w:fill="auto"/>
            <w:noWrap/>
            <w:vAlign w:val="bottom"/>
            <w:hideMark/>
          </w:tcPr>
          <w:p w14:paraId="54252AFA"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[6.1]</w:t>
            </w:r>
          </w:p>
        </w:tc>
        <w:tc>
          <w:tcPr>
            <w:tcW w:w="743" w:type="pct"/>
            <w:tcBorders>
              <w:top w:val="nil"/>
              <w:left w:val="nil"/>
              <w:bottom w:val="single" w:sz="4" w:space="0" w:color="auto"/>
              <w:right w:val="nil"/>
            </w:tcBorders>
            <w:shd w:val="clear" w:color="auto" w:fill="auto"/>
            <w:noWrap/>
            <w:vAlign w:val="bottom"/>
            <w:hideMark/>
          </w:tcPr>
          <w:p w14:paraId="30EE93A2" w14:textId="77777777" w:rsidR="00273DA4" w:rsidRPr="000A1558" w:rsidRDefault="00273DA4" w:rsidP="00273DA4">
            <w:pPr>
              <w:jc w:val="right"/>
              <w:rPr>
                <w:rFonts w:eastAsia="Times New Roman" w:cstheme="minorHAnsi"/>
                <w:color w:val="000000"/>
                <w:sz w:val="22"/>
                <w:szCs w:val="22"/>
              </w:rPr>
            </w:pPr>
            <w:r w:rsidRPr="000A1558">
              <w:rPr>
                <w:rFonts w:eastAsia="Times New Roman" w:cstheme="minorHAnsi"/>
                <w:color w:val="000000"/>
                <w:sz w:val="22"/>
                <w:szCs w:val="22"/>
              </w:rPr>
              <w:t>[6.2]</w:t>
            </w:r>
          </w:p>
        </w:tc>
      </w:tr>
    </w:tbl>
    <w:p w14:paraId="3616D925" w14:textId="77777777" w:rsidR="00044463" w:rsidRPr="000A1558" w:rsidRDefault="002B78A0" w:rsidP="00044463">
      <w:pPr>
        <w:rPr>
          <w:rFonts w:eastAsia="Times New Roman" w:cstheme="minorHAnsi"/>
          <w:color w:val="000000"/>
          <w:sz w:val="22"/>
          <w:szCs w:val="22"/>
        </w:rPr>
      </w:pPr>
      <w:r w:rsidRPr="000A1558">
        <w:rPr>
          <w:rFonts w:eastAsia="Times New Roman" w:cstheme="minorHAnsi"/>
          <w:color w:val="000000"/>
          <w:sz w:val="22"/>
          <w:szCs w:val="22"/>
          <w:vertAlign w:val="superscript"/>
        </w:rPr>
        <w:t>a</w:t>
      </w:r>
      <w:r w:rsidRPr="000A1558">
        <w:rPr>
          <w:rFonts w:eastAsia="Times New Roman" w:cstheme="minorHAnsi"/>
          <w:color w:val="000000"/>
          <w:sz w:val="22"/>
          <w:szCs w:val="22"/>
        </w:rPr>
        <w:t xml:space="preserve"> Per resident day</w:t>
      </w:r>
    </w:p>
    <w:p w14:paraId="2595338A" w14:textId="77777777" w:rsidR="00044463" w:rsidRDefault="00044463" w:rsidP="00044463">
      <w:pPr>
        <w:rPr>
          <w:rFonts w:eastAsia="Times New Roman" w:cstheme="minorHAnsi"/>
          <w:color w:val="000000"/>
        </w:rPr>
      </w:pPr>
    </w:p>
    <w:p w14:paraId="67E6F977" w14:textId="77777777" w:rsidR="00044463" w:rsidRDefault="00044463" w:rsidP="00044463">
      <w:pPr>
        <w:rPr>
          <w:rFonts w:eastAsia="Times New Roman" w:cstheme="minorHAnsi"/>
          <w:color w:val="000000"/>
        </w:rPr>
      </w:pPr>
    </w:p>
    <w:p w14:paraId="22FD3D3F" w14:textId="77777777" w:rsidR="00044463" w:rsidRDefault="00044463" w:rsidP="00044463">
      <w:pPr>
        <w:rPr>
          <w:rFonts w:eastAsia="Times New Roman" w:cstheme="minorHAnsi"/>
          <w:color w:val="000000"/>
        </w:rPr>
        <w:sectPr w:rsidR="00044463" w:rsidSect="00CB5E12">
          <w:pgSz w:w="12240" w:h="15840"/>
          <w:pgMar w:top="1440" w:right="1440" w:bottom="1440" w:left="1440" w:header="720" w:footer="720" w:gutter="0"/>
          <w:cols w:space="720"/>
          <w:docGrid w:linePitch="360"/>
        </w:sectPr>
      </w:pPr>
    </w:p>
    <w:p w14:paraId="68236CC1" w14:textId="77777777" w:rsidR="00044463" w:rsidRDefault="00044463" w:rsidP="00044463">
      <w:pPr>
        <w:rPr>
          <w:rFonts w:eastAsia="Times New Roman" w:cstheme="minorHAnsi"/>
          <w:color w:val="000000"/>
        </w:rPr>
      </w:pPr>
    </w:p>
    <w:p w14:paraId="304C4415" w14:textId="03AE377D" w:rsidR="004A6C7B" w:rsidRPr="000A1558" w:rsidRDefault="00044463" w:rsidP="00EA7736">
      <w:pPr>
        <w:spacing w:after="240"/>
        <w:rPr>
          <w:rFonts w:eastAsiaTheme="minorEastAsia" w:cstheme="minorHAnsi"/>
          <w:sz w:val="22"/>
          <w:szCs w:val="22"/>
        </w:rPr>
      </w:pPr>
      <w:r w:rsidRPr="000A1558">
        <w:rPr>
          <w:rFonts w:eastAsiaTheme="minorEastAsia" w:cstheme="minorHAnsi"/>
          <w:sz w:val="22"/>
          <w:szCs w:val="22"/>
        </w:rPr>
        <w:t xml:space="preserve">Table 2. Growth Models </w:t>
      </w:r>
      <w:r w:rsidR="00273DA4" w:rsidRPr="000A1558">
        <w:rPr>
          <w:rFonts w:eastAsiaTheme="minorEastAsia" w:cstheme="minorHAnsi"/>
          <w:sz w:val="22"/>
          <w:szCs w:val="22"/>
        </w:rPr>
        <w:t>for Major Outcomes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2"/>
        <w:gridCol w:w="3139"/>
        <w:gridCol w:w="2330"/>
        <w:gridCol w:w="1838"/>
        <w:gridCol w:w="1851"/>
      </w:tblGrid>
      <w:tr w:rsidR="004A6C7B" w:rsidRPr="000A1558" w14:paraId="399C805E" w14:textId="77777777" w:rsidTr="004A6C7B">
        <w:trPr>
          <w:trHeight w:val="300"/>
        </w:trPr>
        <w:tc>
          <w:tcPr>
            <w:tcW w:w="1467" w:type="pct"/>
            <w:tcBorders>
              <w:top w:val="single" w:sz="4" w:space="0" w:color="auto"/>
              <w:bottom w:val="single" w:sz="4" w:space="0" w:color="auto"/>
            </w:tcBorders>
            <w:noWrap/>
            <w:hideMark/>
          </w:tcPr>
          <w:p w14:paraId="78DCAB5F" w14:textId="77777777" w:rsidR="004A6C7B" w:rsidRPr="000A1558" w:rsidRDefault="004A6C7B">
            <w:pPr>
              <w:ind w:left="157" w:hanging="157"/>
              <w:rPr>
                <w:rFonts w:cstheme="minorHAnsi"/>
              </w:rPr>
            </w:pPr>
            <w:r w:rsidRPr="000A1558">
              <w:rPr>
                <w:rFonts w:cstheme="minorHAnsi"/>
              </w:rPr>
              <w:t>Outcome</w:t>
            </w:r>
          </w:p>
        </w:tc>
        <w:tc>
          <w:tcPr>
            <w:tcW w:w="1211" w:type="pct"/>
            <w:tcBorders>
              <w:top w:val="single" w:sz="4" w:space="0" w:color="auto"/>
              <w:bottom w:val="single" w:sz="4" w:space="0" w:color="auto"/>
            </w:tcBorders>
            <w:noWrap/>
            <w:hideMark/>
          </w:tcPr>
          <w:p w14:paraId="44A7623C" w14:textId="77777777" w:rsidR="004A6C7B" w:rsidRPr="000A1558" w:rsidRDefault="004A6C7B">
            <w:pPr>
              <w:jc w:val="center"/>
              <w:rPr>
                <w:rFonts w:cstheme="minorHAnsi"/>
              </w:rPr>
            </w:pPr>
            <w:r w:rsidRPr="000A1558">
              <w:rPr>
                <w:rFonts w:cstheme="minorHAnsi"/>
              </w:rPr>
              <w:t>Care-Related</w:t>
            </w:r>
          </w:p>
          <w:p w14:paraId="6470620D" w14:textId="77777777" w:rsidR="004A6C7B" w:rsidRPr="000A1558" w:rsidRDefault="004A6C7B">
            <w:pPr>
              <w:jc w:val="center"/>
              <w:rPr>
                <w:rFonts w:cstheme="minorHAnsi"/>
                <w:vertAlign w:val="superscript"/>
              </w:rPr>
            </w:pPr>
            <w:r w:rsidRPr="000A1558">
              <w:rPr>
                <w:rFonts w:cstheme="minorHAnsi"/>
              </w:rPr>
              <w:t>Cost per Resident Day</w:t>
            </w:r>
            <w:r w:rsidRPr="000A1558">
              <w:rPr>
                <w:rFonts w:cstheme="minorHAnsi"/>
                <w:vertAlign w:val="superscript"/>
              </w:rPr>
              <w:t>+</w:t>
            </w:r>
          </w:p>
        </w:tc>
        <w:tc>
          <w:tcPr>
            <w:tcW w:w="899" w:type="pct"/>
            <w:tcBorders>
              <w:top w:val="single" w:sz="4" w:space="0" w:color="auto"/>
              <w:bottom w:val="single" w:sz="4" w:space="0" w:color="auto"/>
            </w:tcBorders>
          </w:tcPr>
          <w:p w14:paraId="466E66C9" w14:textId="77777777" w:rsidR="004A6C7B" w:rsidRPr="000A1558" w:rsidRDefault="004A6C7B">
            <w:pPr>
              <w:jc w:val="center"/>
              <w:rPr>
                <w:rFonts w:cstheme="minorHAnsi"/>
              </w:rPr>
            </w:pPr>
            <w:r>
              <w:rPr>
                <w:rFonts w:cstheme="minorHAnsi"/>
              </w:rPr>
              <w:t>Other Operating Cost per Resident Day</w:t>
            </w:r>
          </w:p>
        </w:tc>
        <w:tc>
          <w:tcPr>
            <w:tcW w:w="709" w:type="pct"/>
            <w:tcBorders>
              <w:top w:val="single" w:sz="4" w:space="0" w:color="auto"/>
              <w:bottom w:val="single" w:sz="4" w:space="0" w:color="auto"/>
            </w:tcBorders>
          </w:tcPr>
          <w:p w14:paraId="146A1399" w14:textId="77777777" w:rsidR="004A6C7B" w:rsidRPr="000A1558" w:rsidRDefault="004A6C7B">
            <w:pPr>
              <w:jc w:val="center"/>
              <w:rPr>
                <w:rFonts w:cstheme="minorHAnsi"/>
              </w:rPr>
            </w:pPr>
            <w:r w:rsidRPr="000A1558">
              <w:rPr>
                <w:rFonts w:cstheme="minorHAnsi"/>
              </w:rPr>
              <w:t>Occupancy %</w:t>
            </w:r>
          </w:p>
          <w:p w14:paraId="447EA19C" w14:textId="77777777" w:rsidR="004A6C7B" w:rsidRPr="000A1558" w:rsidRDefault="004A6C7B">
            <w:pPr>
              <w:jc w:val="center"/>
              <w:rPr>
                <w:rFonts w:cstheme="minorHAnsi"/>
              </w:rPr>
            </w:pPr>
            <w:r w:rsidRPr="000A1558">
              <w:rPr>
                <w:rFonts w:cstheme="minorHAnsi"/>
              </w:rPr>
              <w:t>(Base Capacity)</w:t>
            </w:r>
          </w:p>
        </w:tc>
        <w:tc>
          <w:tcPr>
            <w:tcW w:w="714" w:type="pct"/>
            <w:tcBorders>
              <w:top w:val="single" w:sz="4" w:space="0" w:color="auto"/>
              <w:bottom w:val="single" w:sz="4" w:space="0" w:color="auto"/>
            </w:tcBorders>
            <w:noWrap/>
            <w:hideMark/>
          </w:tcPr>
          <w:p w14:paraId="490AAD05" w14:textId="77777777" w:rsidR="004A6C7B" w:rsidRPr="000A1558" w:rsidRDefault="004A6C7B">
            <w:pPr>
              <w:jc w:val="center"/>
              <w:rPr>
                <w:rFonts w:cstheme="minorHAnsi"/>
              </w:rPr>
            </w:pPr>
            <w:r w:rsidRPr="000A1558">
              <w:rPr>
                <w:rFonts w:cstheme="minorHAnsi"/>
              </w:rPr>
              <w:t>Quality Score</w:t>
            </w:r>
          </w:p>
        </w:tc>
      </w:tr>
      <w:tr w:rsidR="004A6C7B" w:rsidRPr="000A1558" w14:paraId="5665D6A8" w14:textId="77777777" w:rsidTr="004A6C7B">
        <w:trPr>
          <w:trHeight w:val="305"/>
        </w:trPr>
        <w:tc>
          <w:tcPr>
            <w:tcW w:w="1467" w:type="pct"/>
            <w:tcBorders>
              <w:top w:val="single" w:sz="4" w:space="0" w:color="auto"/>
            </w:tcBorders>
            <w:noWrap/>
            <w:hideMark/>
          </w:tcPr>
          <w:p w14:paraId="43F57109" w14:textId="77777777" w:rsidR="004A6C7B" w:rsidRPr="000A1558" w:rsidRDefault="004A6C7B" w:rsidP="00807045">
            <w:pPr>
              <w:ind w:left="157" w:hanging="157"/>
              <w:rPr>
                <w:rFonts w:cstheme="minorHAnsi"/>
              </w:rPr>
            </w:pPr>
            <w:r w:rsidRPr="000A1558">
              <w:rPr>
                <w:rFonts w:cstheme="minorHAnsi"/>
              </w:rPr>
              <w:t>Variable</w:t>
            </w:r>
          </w:p>
        </w:tc>
        <w:tc>
          <w:tcPr>
            <w:tcW w:w="1211" w:type="pct"/>
            <w:tcBorders>
              <w:top w:val="single" w:sz="4" w:space="0" w:color="auto"/>
            </w:tcBorders>
            <w:noWrap/>
          </w:tcPr>
          <w:p w14:paraId="39FE4CC6" w14:textId="77777777" w:rsidR="004A6C7B" w:rsidRPr="000A1558" w:rsidRDefault="004A6C7B" w:rsidP="00807045">
            <w:pPr>
              <w:jc w:val="center"/>
              <w:rPr>
                <w:rFonts w:cstheme="minorHAnsi"/>
              </w:rPr>
            </w:pPr>
          </w:p>
        </w:tc>
        <w:tc>
          <w:tcPr>
            <w:tcW w:w="899" w:type="pct"/>
            <w:tcBorders>
              <w:top w:val="single" w:sz="4" w:space="0" w:color="auto"/>
            </w:tcBorders>
          </w:tcPr>
          <w:p w14:paraId="6BD40DFC" w14:textId="77777777" w:rsidR="004A6C7B" w:rsidRPr="000A1558" w:rsidRDefault="004A6C7B" w:rsidP="00807045">
            <w:pPr>
              <w:jc w:val="center"/>
              <w:rPr>
                <w:rFonts w:cstheme="minorHAnsi"/>
              </w:rPr>
            </w:pPr>
          </w:p>
        </w:tc>
        <w:tc>
          <w:tcPr>
            <w:tcW w:w="709" w:type="pct"/>
            <w:tcBorders>
              <w:top w:val="single" w:sz="4" w:space="0" w:color="auto"/>
            </w:tcBorders>
          </w:tcPr>
          <w:p w14:paraId="41297661" w14:textId="77777777" w:rsidR="004A6C7B" w:rsidRPr="000A1558" w:rsidRDefault="004A6C7B" w:rsidP="00807045">
            <w:pPr>
              <w:jc w:val="center"/>
              <w:rPr>
                <w:rFonts w:cstheme="minorHAnsi"/>
              </w:rPr>
            </w:pPr>
          </w:p>
        </w:tc>
        <w:tc>
          <w:tcPr>
            <w:tcW w:w="714" w:type="pct"/>
            <w:tcBorders>
              <w:top w:val="single" w:sz="4" w:space="0" w:color="auto"/>
            </w:tcBorders>
            <w:noWrap/>
          </w:tcPr>
          <w:p w14:paraId="6EAF4E90" w14:textId="77777777" w:rsidR="004A6C7B" w:rsidRPr="000A1558" w:rsidRDefault="004A6C7B" w:rsidP="00807045">
            <w:pPr>
              <w:jc w:val="center"/>
              <w:rPr>
                <w:rFonts w:cstheme="minorHAnsi"/>
                <w:vertAlign w:val="superscript"/>
              </w:rPr>
            </w:pPr>
          </w:p>
        </w:tc>
      </w:tr>
      <w:tr w:rsidR="004A6C7B" w:rsidRPr="000A1558" w14:paraId="1937CC05" w14:textId="77777777" w:rsidTr="004A6C7B">
        <w:trPr>
          <w:trHeight w:val="300"/>
        </w:trPr>
        <w:tc>
          <w:tcPr>
            <w:tcW w:w="1467" w:type="pct"/>
            <w:noWrap/>
            <w:hideMark/>
          </w:tcPr>
          <w:p w14:paraId="1BE8DE0C" w14:textId="77777777" w:rsidR="004A6C7B" w:rsidRPr="000A1558" w:rsidRDefault="004A6C7B" w:rsidP="00807045">
            <w:pPr>
              <w:ind w:left="157" w:hanging="157"/>
              <w:rPr>
                <w:rFonts w:cstheme="minorHAnsi"/>
              </w:rPr>
            </w:pPr>
            <w:r w:rsidRPr="000A1558">
              <w:rPr>
                <w:rFonts w:cstheme="minorHAnsi"/>
              </w:rPr>
              <w:t>Intercept</w:t>
            </w:r>
          </w:p>
        </w:tc>
        <w:tc>
          <w:tcPr>
            <w:tcW w:w="1211" w:type="pct"/>
            <w:shd w:val="clear" w:color="auto" w:fill="auto"/>
            <w:noWrap/>
            <w:vAlign w:val="center"/>
          </w:tcPr>
          <w:p w14:paraId="4F9B453B" w14:textId="77777777" w:rsidR="004A6C7B" w:rsidRPr="000A1558" w:rsidRDefault="004A6C7B" w:rsidP="00807045">
            <w:pPr>
              <w:jc w:val="center"/>
              <w:rPr>
                <w:rFonts w:cstheme="minorHAnsi"/>
                <w:b/>
                <w:bCs/>
                <w:color w:val="000000"/>
              </w:rPr>
            </w:pPr>
            <w:r w:rsidRPr="000A1558">
              <w:rPr>
                <w:rFonts w:cstheme="minorHAnsi"/>
                <w:b/>
                <w:bCs/>
                <w:color w:val="000000"/>
              </w:rPr>
              <w:t>$43.23</w:t>
            </w:r>
          </w:p>
        </w:tc>
        <w:tc>
          <w:tcPr>
            <w:tcW w:w="899" w:type="pct"/>
            <w:vAlign w:val="center"/>
          </w:tcPr>
          <w:p w14:paraId="12BBBE3B" w14:textId="77777777" w:rsidR="004A6C7B" w:rsidRPr="00DD20E5" w:rsidRDefault="004A6C7B" w:rsidP="00807045">
            <w:pPr>
              <w:jc w:val="center"/>
              <w:rPr>
                <w:rFonts w:cstheme="minorHAnsi"/>
                <w:b/>
                <w:bCs/>
                <w:color w:val="000000"/>
              </w:rPr>
            </w:pPr>
            <w:r w:rsidRPr="00DD20E5">
              <w:rPr>
                <w:rFonts w:cstheme="minorHAnsi"/>
                <w:b/>
                <w:bCs/>
                <w:color w:val="000000"/>
              </w:rPr>
              <w:t>$33.79</w:t>
            </w:r>
          </w:p>
        </w:tc>
        <w:tc>
          <w:tcPr>
            <w:tcW w:w="709" w:type="pct"/>
            <w:shd w:val="clear" w:color="auto" w:fill="auto"/>
            <w:noWrap/>
            <w:vAlign w:val="center"/>
          </w:tcPr>
          <w:p w14:paraId="477D9016" w14:textId="77777777" w:rsidR="004A6C7B" w:rsidRPr="000A1558" w:rsidRDefault="004A6C7B" w:rsidP="00807045">
            <w:pPr>
              <w:jc w:val="center"/>
              <w:rPr>
                <w:rFonts w:cstheme="minorHAnsi"/>
                <w:b/>
                <w:bCs/>
                <w:color w:val="000000"/>
              </w:rPr>
            </w:pPr>
            <w:r w:rsidRPr="000A1558">
              <w:rPr>
                <w:rFonts w:cstheme="minorHAnsi"/>
                <w:b/>
                <w:bCs/>
                <w:color w:val="000000"/>
              </w:rPr>
              <w:t>100.03%</w:t>
            </w:r>
          </w:p>
        </w:tc>
        <w:tc>
          <w:tcPr>
            <w:tcW w:w="714" w:type="pct"/>
            <w:noWrap/>
            <w:vAlign w:val="center"/>
          </w:tcPr>
          <w:p w14:paraId="370D6DBD" w14:textId="77777777" w:rsidR="004A6C7B" w:rsidRPr="000A1558" w:rsidRDefault="004A6C7B" w:rsidP="00807045">
            <w:pPr>
              <w:jc w:val="center"/>
              <w:rPr>
                <w:rFonts w:cstheme="minorHAnsi"/>
                <w:b/>
                <w:bCs/>
              </w:rPr>
            </w:pPr>
            <w:r w:rsidRPr="000A1558">
              <w:rPr>
                <w:rFonts w:cstheme="minorHAnsi"/>
                <w:b/>
                <w:bCs/>
              </w:rPr>
              <w:t>82.12</w:t>
            </w:r>
          </w:p>
        </w:tc>
      </w:tr>
      <w:tr w:rsidR="004A6C7B" w:rsidRPr="000A1558" w14:paraId="624A9F2E" w14:textId="77777777" w:rsidTr="004A6C7B">
        <w:trPr>
          <w:trHeight w:val="300"/>
        </w:trPr>
        <w:tc>
          <w:tcPr>
            <w:tcW w:w="1467" w:type="pct"/>
            <w:noWrap/>
            <w:hideMark/>
          </w:tcPr>
          <w:p w14:paraId="0C9AA5ED" w14:textId="77777777" w:rsidR="004A6C7B" w:rsidRPr="000A1558" w:rsidRDefault="004A6C7B" w:rsidP="00807045">
            <w:pPr>
              <w:ind w:left="157" w:hanging="157"/>
              <w:rPr>
                <w:rFonts w:cstheme="minorHAnsi"/>
              </w:rPr>
            </w:pPr>
            <w:r w:rsidRPr="000A1558">
              <w:rPr>
                <w:rFonts w:cstheme="minorHAnsi"/>
              </w:rPr>
              <w:t>Year (2013-2015)</w:t>
            </w:r>
          </w:p>
        </w:tc>
        <w:tc>
          <w:tcPr>
            <w:tcW w:w="1211" w:type="pct"/>
            <w:shd w:val="clear" w:color="auto" w:fill="auto"/>
            <w:noWrap/>
            <w:vAlign w:val="center"/>
          </w:tcPr>
          <w:p w14:paraId="23DC1ADD" w14:textId="77777777" w:rsidR="004A6C7B" w:rsidRPr="000A1558" w:rsidRDefault="004A6C7B" w:rsidP="00807045">
            <w:pPr>
              <w:jc w:val="center"/>
              <w:rPr>
                <w:rFonts w:cstheme="minorHAnsi"/>
                <w:b/>
                <w:bCs/>
                <w:color w:val="000000"/>
              </w:rPr>
            </w:pPr>
            <w:r w:rsidRPr="000A1558">
              <w:rPr>
                <w:rFonts w:cstheme="minorHAnsi"/>
                <w:b/>
                <w:bCs/>
                <w:color w:val="000000"/>
              </w:rPr>
              <w:t>$3.74</w:t>
            </w:r>
          </w:p>
        </w:tc>
        <w:tc>
          <w:tcPr>
            <w:tcW w:w="899" w:type="pct"/>
            <w:vAlign w:val="center"/>
          </w:tcPr>
          <w:p w14:paraId="4DFF58BE" w14:textId="77777777" w:rsidR="004A6C7B" w:rsidRPr="000A1558" w:rsidRDefault="004A6C7B" w:rsidP="00807045">
            <w:pPr>
              <w:jc w:val="center"/>
              <w:rPr>
                <w:rFonts w:cstheme="minorHAnsi"/>
                <w:b/>
                <w:bCs/>
                <w:color w:val="000000"/>
              </w:rPr>
            </w:pPr>
            <w:r>
              <w:rPr>
                <w:rFonts w:cstheme="minorHAnsi"/>
                <w:b/>
                <w:bCs/>
                <w:color w:val="000000"/>
              </w:rPr>
              <w:t>$2.58</w:t>
            </w:r>
          </w:p>
        </w:tc>
        <w:tc>
          <w:tcPr>
            <w:tcW w:w="709" w:type="pct"/>
            <w:shd w:val="clear" w:color="auto" w:fill="auto"/>
            <w:noWrap/>
            <w:vAlign w:val="center"/>
          </w:tcPr>
          <w:p w14:paraId="57FC3D4D" w14:textId="77777777" w:rsidR="004A6C7B" w:rsidRPr="000A1558" w:rsidRDefault="004A6C7B" w:rsidP="00807045">
            <w:pPr>
              <w:jc w:val="center"/>
              <w:rPr>
                <w:rFonts w:cstheme="minorHAnsi"/>
                <w:b/>
                <w:bCs/>
                <w:color w:val="000000"/>
              </w:rPr>
            </w:pPr>
            <w:r w:rsidRPr="000A1558">
              <w:rPr>
                <w:rFonts w:cstheme="minorHAnsi"/>
                <w:b/>
                <w:bCs/>
                <w:color w:val="000000"/>
              </w:rPr>
              <w:t>-1.80%</w:t>
            </w:r>
          </w:p>
        </w:tc>
        <w:tc>
          <w:tcPr>
            <w:tcW w:w="714" w:type="pct"/>
            <w:noWrap/>
            <w:vAlign w:val="center"/>
          </w:tcPr>
          <w:p w14:paraId="02C8895E" w14:textId="77777777" w:rsidR="004A6C7B" w:rsidRPr="000A1558" w:rsidRDefault="004A6C7B" w:rsidP="00807045">
            <w:pPr>
              <w:jc w:val="center"/>
              <w:rPr>
                <w:rFonts w:cstheme="minorHAnsi"/>
                <w:b/>
                <w:bCs/>
              </w:rPr>
            </w:pPr>
            <w:r w:rsidRPr="000A1558">
              <w:rPr>
                <w:rFonts w:cstheme="minorHAnsi"/>
                <w:b/>
                <w:bCs/>
              </w:rPr>
              <w:t>0.58</w:t>
            </w:r>
          </w:p>
        </w:tc>
      </w:tr>
      <w:tr w:rsidR="004A6C7B" w:rsidRPr="000A1558" w14:paraId="25EBFE3C" w14:textId="77777777" w:rsidTr="004A6C7B">
        <w:trPr>
          <w:trHeight w:val="300"/>
        </w:trPr>
        <w:tc>
          <w:tcPr>
            <w:tcW w:w="1467" w:type="pct"/>
            <w:noWrap/>
            <w:hideMark/>
          </w:tcPr>
          <w:p w14:paraId="63C9A537" w14:textId="77777777" w:rsidR="004A6C7B" w:rsidRPr="000A1558" w:rsidRDefault="004A6C7B" w:rsidP="00807045">
            <w:pPr>
              <w:ind w:left="157" w:hanging="157"/>
              <w:rPr>
                <w:rFonts w:cstheme="minorHAnsi"/>
              </w:rPr>
            </w:pPr>
            <w:r w:rsidRPr="000A1558">
              <w:rPr>
                <w:rFonts w:cstheme="minorHAnsi"/>
              </w:rPr>
              <w:t>VBR Years (2016-17)</w:t>
            </w:r>
          </w:p>
        </w:tc>
        <w:tc>
          <w:tcPr>
            <w:tcW w:w="1211" w:type="pct"/>
            <w:shd w:val="clear" w:color="auto" w:fill="auto"/>
            <w:noWrap/>
            <w:vAlign w:val="center"/>
          </w:tcPr>
          <w:p w14:paraId="49D42957" w14:textId="77777777" w:rsidR="004A6C7B" w:rsidRPr="000A1558" w:rsidRDefault="004A6C7B" w:rsidP="00807045">
            <w:pPr>
              <w:jc w:val="center"/>
              <w:rPr>
                <w:rFonts w:cstheme="minorHAnsi"/>
                <w:b/>
              </w:rPr>
            </w:pPr>
            <w:r w:rsidRPr="000A1558">
              <w:rPr>
                <w:rFonts w:cstheme="minorHAnsi"/>
                <w:b/>
              </w:rPr>
              <w:t>$10.90</w:t>
            </w:r>
          </w:p>
        </w:tc>
        <w:tc>
          <w:tcPr>
            <w:tcW w:w="899" w:type="pct"/>
            <w:vAlign w:val="center"/>
          </w:tcPr>
          <w:p w14:paraId="6B42B9D5" w14:textId="77777777" w:rsidR="004A6C7B" w:rsidRPr="00DD20E5" w:rsidRDefault="004A6C7B" w:rsidP="00807045">
            <w:pPr>
              <w:jc w:val="center"/>
              <w:rPr>
                <w:rFonts w:cstheme="minorHAnsi"/>
                <w:b/>
                <w:bCs/>
                <w:color w:val="000000"/>
              </w:rPr>
            </w:pPr>
            <w:r w:rsidRPr="00DD20E5">
              <w:rPr>
                <w:rFonts w:cstheme="minorHAnsi"/>
                <w:b/>
                <w:bCs/>
                <w:color w:val="000000"/>
              </w:rPr>
              <w:t>$2.08</w:t>
            </w:r>
          </w:p>
        </w:tc>
        <w:tc>
          <w:tcPr>
            <w:tcW w:w="709" w:type="pct"/>
            <w:shd w:val="clear" w:color="auto" w:fill="auto"/>
            <w:noWrap/>
            <w:vAlign w:val="center"/>
          </w:tcPr>
          <w:p w14:paraId="79E0084D" w14:textId="77777777" w:rsidR="004A6C7B" w:rsidRPr="000A1558" w:rsidRDefault="004A6C7B" w:rsidP="00807045">
            <w:pPr>
              <w:jc w:val="center"/>
              <w:rPr>
                <w:rFonts w:cstheme="minorHAnsi"/>
                <w:bCs/>
                <w:color w:val="000000"/>
              </w:rPr>
            </w:pPr>
            <w:r w:rsidRPr="000A1558">
              <w:rPr>
                <w:rFonts w:cstheme="minorHAnsi"/>
                <w:bCs/>
                <w:color w:val="000000"/>
              </w:rPr>
              <w:t>-0.48%</w:t>
            </w:r>
          </w:p>
        </w:tc>
        <w:tc>
          <w:tcPr>
            <w:tcW w:w="714" w:type="pct"/>
            <w:noWrap/>
            <w:vAlign w:val="center"/>
          </w:tcPr>
          <w:p w14:paraId="22AB6FC8" w14:textId="77777777" w:rsidR="004A6C7B" w:rsidRPr="000A1558" w:rsidRDefault="004A6C7B" w:rsidP="00807045">
            <w:pPr>
              <w:jc w:val="center"/>
              <w:rPr>
                <w:rFonts w:cstheme="minorHAnsi"/>
              </w:rPr>
            </w:pPr>
            <w:r w:rsidRPr="000A1558">
              <w:rPr>
                <w:rFonts w:cstheme="minorHAnsi"/>
              </w:rPr>
              <w:t>1.23</w:t>
            </w:r>
          </w:p>
        </w:tc>
      </w:tr>
      <w:tr w:rsidR="004A6C7B" w:rsidRPr="000A1558" w14:paraId="7EDB90B5" w14:textId="77777777" w:rsidTr="004A6C7B">
        <w:trPr>
          <w:trHeight w:val="300"/>
        </w:trPr>
        <w:tc>
          <w:tcPr>
            <w:tcW w:w="1467" w:type="pct"/>
            <w:noWrap/>
            <w:hideMark/>
          </w:tcPr>
          <w:p w14:paraId="69850E93" w14:textId="77777777" w:rsidR="004A6C7B" w:rsidRPr="000A1558" w:rsidRDefault="00B4220C" w:rsidP="00807045">
            <w:pPr>
              <w:ind w:left="157" w:hanging="157"/>
              <w:rPr>
                <w:rFonts w:cstheme="minorHAnsi"/>
              </w:rPr>
            </w:pPr>
            <w:r>
              <w:rPr>
                <w:rFonts w:cstheme="minorHAnsi"/>
              </w:rPr>
              <w:t>For-profit</w:t>
            </w:r>
            <w:r w:rsidR="004A6C7B" w:rsidRPr="000A1558">
              <w:rPr>
                <w:rFonts w:cstheme="minorHAnsi"/>
              </w:rPr>
              <w:t xml:space="preserve"> Ownership</w:t>
            </w:r>
          </w:p>
        </w:tc>
        <w:tc>
          <w:tcPr>
            <w:tcW w:w="1211" w:type="pct"/>
            <w:shd w:val="clear" w:color="auto" w:fill="auto"/>
            <w:noWrap/>
            <w:vAlign w:val="center"/>
          </w:tcPr>
          <w:p w14:paraId="308D01E2" w14:textId="77777777" w:rsidR="004A6C7B" w:rsidRPr="000A1558" w:rsidRDefault="004A6C7B" w:rsidP="00807045">
            <w:pPr>
              <w:jc w:val="center"/>
              <w:rPr>
                <w:rFonts w:cstheme="minorHAnsi"/>
                <w:b/>
                <w:bCs/>
                <w:color w:val="000000"/>
              </w:rPr>
            </w:pPr>
            <w:r w:rsidRPr="000A1558">
              <w:rPr>
                <w:rFonts w:cstheme="minorHAnsi"/>
                <w:b/>
                <w:bCs/>
                <w:color w:val="000000"/>
              </w:rPr>
              <w:t>-$8.63</w:t>
            </w:r>
          </w:p>
        </w:tc>
        <w:tc>
          <w:tcPr>
            <w:tcW w:w="899" w:type="pct"/>
            <w:vAlign w:val="center"/>
          </w:tcPr>
          <w:p w14:paraId="2C8E04D5" w14:textId="77777777" w:rsidR="004A6C7B" w:rsidRPr="000A1558" w:rsidRDefault="004A6C7B" w:rsidP="00807045">
            <w:pPr>
              <w:jc w:val="center"/>
              <w:rPr>
                <w:rFonts w:cstheme="minorHAnsi"/>
                <w:b/>
                <w:color w:val="000000"/>
              </w:rPr>
            </w:pPr>
            <w:r>
              <w:rPr>
                <w:rFonts w:cstheme="minorHAnsi"/>
                <w:b/>
                <w:color w:val="000000"/>
              </w:rPr>
              <w:t>-$3.36</w:t>
            </w:r>
          </w:p>
        </w:tc>
        <w:tc>
          <w:tcPr>
            <w:tcW w:w="709" w:type="pct"/>
            <w:shd w:val="clear" w:color="auto" w:fill="auto"/>
            <w:noWrap/>
            <w:vAlign w:val="center"/>
          </w:tcPr>
          <w:p w14:paraId="5F5C2F07" w14:textId="77777777" w:rsidR="004A6C7B" w:rsidRPr="000A1558" w:rsidRDefault="004A6C7B" w:rsidP="00807045">
            <w:pPr>
              <w:jc w:val="center"/>
              <w:rPr>
                <w:rFonts w:cstheme="minorHAnsi"/>
                <w:b/>
                <w:color w:val="000000"/>
              </w:rPr>
            </w:pPr>
            <w:r w:rsidRPr="000A1558">
              <w:rPr>
                <w:rFonts w:cstheme="minorHAnsi"/>
                <w:b/>
                <w:color w:val="000000"/>
              </w:rPr>
              <w:t>-2.43%</w:t>
            </w:r>
          </w:p>
        </w:tc>
        <w:tc>
          <w:tcPr>
            <w:tcW w:w="714" w:type="pct"/>
            <w:noWrap/>
            <w:vAlign w:val="center"/>
          </w:tcPr>
          <w:p w14:paraId="6E84FC9A" w14:textId="77777777" w:rsidR="004A6C7B" w:rsidRPr="000A1558" w:rsidRDefault="004A6C7B" w:rsidP="00807045">
            <w:pPr>
              <w:jc w:val="center"/>
              <w:rPr>
                <w:rFonts w:cstheme="minorHAnsi"/>
                <w:b/>
                <w:bCs/>
              </w:rPr>
            </w:pPr>
            <w:r w:rsidRPr="000A1558">
              <w:rPr>
                <w:rFonts w:cstheme="minorHAnsi"/>
                <w:b/>
                <w:bCs/>
              </w:rPr>
              <w:t>-2.51</w:t>
            </w:r>
          </w:p>
        </w:tc>
      </w:tr>
      <w:tr w:rsidR="004A6C7B" w:rsidRPr="000A1558" w14:paraId="4179E649" w14:textId="77777777" w:rsidTr="004A6C7B">
        <w:trPr>
          <w:trHeight w:val="300"/>
        </w:trPr>
        <w:tc>
          <w:tcPr>
            <w:tcW w:w="1467" w:type="pct"/>
            <w:noWrap/>
          </w:tcPr>
          <w:p w14:paraId="484B7E31" w14:textId="77777777" w:rsidR="004A6C7B" w:rsidRPr="000A1558" w:rsidRDefault="004A6C7B" w:rsidP="00807045">
            <w:pPr>
              <w:ind w:left="157" w:hanging="157"/>
              <w:rPr>
                <w:rFonts w:cstheme="minorHAnsi"/>
              </w:rPr>
            </w:pPr>
            <w:r w:rsidRPr="000A1558">
              <w:rPr>
                <w:rFonts w:cstheme="minorHAnsi"/>
              </w:rPr>
              <w:t xml:space="preserve">VBR * </w:t>
            </w:r>
            <w:r w:rsidR="00B4220C">
              <w:rPr>
                <w:rFonts w:cstheme="minorHAnsi"/>
              </w:rPr>
              <w:t>For-profit</w:t>
            </w:r>
            <w:r w:rsidRPr="000A1558">
              <w:rPr>
                <w:rFonts w:cstheme="minorHAnsi"/>
              </w:rPr>
              <w:t xml:space="preserve"> Ownership</w:t>
            </w:r>
          </w:p>
        </w:tc>
        <w:tc>
          <w:tcPr>
            <w:tcW w:w="1211" w:type="pct"/>
            <w:shd w:val="clear" w:color="auto" w:fill="auto"/>
            <w:noWrap/>
            <w:vAlign w:val="center"/>
          </w:tcPr>
          <w:p w14:paraId="1335032F" w14:textId="77777777" w:rsidR="004A6C7B" w:rsidRPr="000A1558" w:rsidRDefault="004A6C7B" w:rsidP="00807045">
            <w:pPr>
              <w:jc w:val="center"/>
              <w:rPr>
                <w:rFonts w:cstheme="minorHAnsi"/>
                <w:bCs/>
                <w:color w:val="000000"/>
              </w:rPr>
            </w:pPr>
            <w:r w:rsidRPr="000A1558">
              <w:rPr>
                <w:rFonts w:cstheme="minorHAnsi"/>
                <w:bCs/>
                <w:color w:val="000000"/>
              </w:rPr>
              <w:t>-$0.52</w:t>
            </w:r>
          </w:p>
        </w:tc>
        <w:tc>
          <w:tcPr>
            <w:tcW w:w="899" w:type="pct"/>
            <w:vAlign w:val="center"/>
          </w:tcPr>
          <w:p w14:paraId="73C7CC55" w14:textId="77777777" w:rsidR="004A6C7B" w:rsidRPr="000A1558" w:rsidRDefault="004A6C7B" w:rsidP="00807045">
            <w:pPr>
              <w:jc w:val="center"/>
              <w:rPr>
                <w:rFonts w:cstheme="minorHAnsi"/>
                <w:color w:val="000000"/>
              </w:rPr>
            </w:pPr>
            <w:r>
              <w:rPr>
                <w:rFonts w:cstheme="minorHAnsi"/>
                <w:color w:val="000000"/>
              </w:rPr>
              <w:t>-$1.06</w:t>
            </w:r>
          </w:p>
        </w:tc>
        <w:tc>
          <w:tcPr>
            <w:tcW w:w="709" w:type="pct"/>
            <w:shd w:val="clear" w:color="auto" w:fill="auto"/>
            <w:noWrap/>
            <w:vAlign w:val="center"/>
          </w:tcPr>
          <w:p w14:paraId="52F6C3CD" w14:textId="77777777" w:rsidR="004A6C7B" w:rsidRPr="000A1558" w:rsidRDefault="004A6C7B" w:rsidP="00807045">
            <w:pPr>
              <w:jc w:val="center"/>
              <w:rPr>
                <w:rFonts w:cstheme="minorHAnsi"/>
                <w:color w:val="000000"/>
              </w:rPr>
            </w:pPr>
            <w:r w:rsidRPr="000A1558">
              <w:rPr>
                <w:rFonts w:cstheme="minorHAnsi"/>
                <w:color w:val="000000"/>
              </w:rPr>
              <w:t>-0.36%</w:t>
            </w:r>
          </w:p>
        </w:tc>
        <w:tc>
          <w:tcPr>
            <w:tcW w:w="714" w:type="pct"/>
            <w:noWrap/>
            <w:vAlign w:val="center"/>
          </w:tcPr>
          <w:p w14:paraId="5FC2711A" w14:textId="77777777" w:rsidR="004A6C7B" w:rsidRPr="000A1558" w:rsidRDefault="004A6C7B" w:rsidP="00807045">
            <w:pPr>
              <w:jc w:val="center"/>
              <w:rPr>
                <w:rFonts w:cstheme="minorHAnsi"/>
              </w:rPr>
            </w:pPr>
            <w:r w:rsidRPr="000A1558">
              <w:rPr>
                <w:rFonts w:cstheme="minorHAnsi"/>
              </w:rPr>
              <w:t>-0.13</w:t>
            </w:r>
          </w:p>
        </w:tc>
      </w:tr>
      <w:tr w:rsidR="004A6C7B" w:rsidRPr="000A1558" w14:paraId="18072ADD" w14:textId="77777777" w:rsidTr="004A6C7B">
        <w:trPr>
          <w:trHeight w:val="300"/>
        </w:trPr>
        <w:tc>
          <w:tcPr>
            <w:tcW w:w="1467" w:type="pct"/>
            <w:noWrap/>
          </w:tcPr>
          <w:p w14:paraId="7C845150" w14:textId="77777777" w:rsidR="004A6C7B" w:rsidRPr="000A1558" w:rsidRDefault="004A6C7B" w:rsidP="00807045">
            <w:pPr>
              <w:ind w:left="157" w:hanging="157"/>
              <w:rPr>
                <w:rFonts w:cstheme="minorHAnsi"/>
              </w:rPr>
            </w:pPr>
            <w:r w:rsidRPr="000A1558">
              <w:rPr>
                <w:rFonts w:cstheme="minorHAnsi"/>
              </w:rPr>
              <w:t>Hospital Attached</w:t>
            </w:r>
          </w:p>
        </w:tc>
        <w:tc>
          <w:tcPr>
            <w:tcW w:w="1211" w:type="pct"/>
            <w:shd w:val="clear" w:color="auto" w:fill="auto"/>
            <w:noWrap/>
            <w:vAlign w:val="center"/>
          </w:tcPr>
          <w:p w14:paraId="7B305F3F" w14:textId="77777777" w:rsidR="004A6C7B" w:rsidRPr="000A1558" w:rsidRDefault="004A6C7B" w:rsidP="00807045">
            <w:pPr>
              <w:jc w:val="center"/>
              <w:rPr>
                <w:rFonts w:cstheme="minorHAnsi"/>
                <w:b/>
                <w:bCs/>
                <w:color w:val="000000"/>
              </w:rPr>
            </w:pPr>
            <w:r w:rsidRPr="000A1558">
              <w:rPr>
                <w:rFonts w:cstheme="minorHAnsi"/>
                <w:b/>
                <w:bCs/>
                <w:color w:val="000000"/>
              </w:rPr>
              <w:t>$23.80</w:t>
            </w:r>
          </w:p>
        </w:tc>
        <w:tc>
          <w:tcPr>
            <w:tcW w:w="899" w:type="pct"/>
            <w:vAlign w:val="center"/>
          </w:tcPr>
          <w:p w14:paraId="09C2F764" w14:textId="77777777" w:rsidR="004A6C7B" w:rsidRPr="00DD20E5" w:rsidRDefault="004A6C7B" w:rsidP="00807045">
            <w:pPr>
              <w:jc w:val="center"/>
              <w:rPr>
                <w:rFonts w:cstheme="minorHAnsi"/>
                <w:b/>
                <w:color w:val="000000"/>
              </w:rPr>
            </w:pPr>
            <w:r w:rsidRPr="00DD20E5">
              <w:rPr>
                <w:rFonts w:cstheme="minorHAnsi"/>
                <w:b/>
                <w:color w:val="000000"/>
              </w:rPr>
              <w:t>$12.86</w:t>
            </w:r>
          </w:p>
        </w:tc>
        <w:tc>
          <w:tcPr>
            <w:tcW w:w="709" w:type="pct"/>
            <w:shd w:val="clear" w:color="auto" w:fill="auto"/>
            <w:noWrap/>
            <w:vAlign w:val="center"/>
          </w:tcPr>
          <w:p w14:paraId="1799626A" w14:textId="77777777" w:rsidR="004A6C7B" w:rsidRPr="000A1558" w:rsidRDefault="004A6C7B" w:rsidP="00807045">
            <w:pPr>
              <w:jc w:val="center"/>
              <w:rPr>
                <w:rFonts w:cstheme="minorHAnsi"/>
                <w:color w:val="000000"/>
              </w:rPr>
            </w:pPr>
            <w:r w:rsidRPr="000A1558">
              <w:rPr>
                <w:rFonts w:cstheme="minorHAnsi"/>
                <w:color w:val="000000"/>
              </w:rPr>
              <w:t>1.94%</w:t>
            </w:r>
          </w:p>
        </w:tc>
        <w:tc>
          <w:tcPr>
            <w:tcW w:w="714" w:type="pct"/>
            <w:noWrap/>
            <w:vAlign w:val="center"/>
          </w:tcPr>
          <w:p w14:paraId="726140FD" w14:textId="77777777" w:rsidR="004A6C7B" w:rsidRPr="000A1558" w:rsidRDefault="004A6C7B" w:rsidP="00807045">
            <w:pPr>
              <w:jc w:val="center"/>
              <w:rPr>
                <w:rFonts w:cstheme="minorHAnsi"/>
              </w:rPr>
            </w:pPr>
            <w:r w:rsidRPr="000A1558">
              <w:rPr>
                <w:rFonts w:cstheme="minorHAnsi"/>
              </w:rPr>
              <w:t>0.93</w:t>
            </w:r>
          </w:p>
        </w:tc>
      </w:tr>
      <w:tr w:rsidR="004A6C7B" w:rsidRPr="000A1558" w14:paraId="6B04799A" w14:textId="77777777" w:rsidTr="004A6C7B">
        <w:trPr>
          <w:trHeight w:val="300"/>
        </w:trPr>
        <w:tc>
          <w:tcPr>
            <w:tcW w:w="1467" w:type="pct"/>
            <w:noWrap/>
          </w:tcPr>
          <w:p w14:paraId="66042AFD" w14:textId="77777777" w:rsidR="004A6C7B" w:rsidRPr="000A1558" w:rsidRDefault="004A6C7B" w:rsidP="00807045">
            <w:pPr>
              <w:ind w:left="157" w:hanging="157"/>
              <w:rPr>
                <w:rFonts w:cstheme="minorHAnsi"/>
              </w:rPr>
            </w:pPr>
            <w:r w:rsidRPr="000A1558">
              <w:rPr>
                <w:rFonts w:cstheme="minorHAnsi"/>
              </w:rPr>
              <w:t>Twin Cities</w:t>
            </w:r>
          </w:p>
        </w:tc>
        <w:tc>
          <w:tcPr>
            <w:tcW w:w="1211" w:type="pct"/>
            <w:shd w:val="clear" w:color="auto" w:fill="auto"/>
            <w:noWrap/>
            <w:vAlign w:val="center"/>
          </w:tcPr>
          <w:p w14:paraId="48F2096C" w14:textId="77777777" w:rsidR="004A6C7B" w:rsidRPr="000A1558" w:rsidRDefault="004A6C7B" w:rsidP="00807045">
            <w:pPr>
              <w:jc w:val="center"/>
              <w:rPr>
                <w:rFonts w:cstheme="minorHAnsi"/>
                <w:b/>
                <w:color w:val="000000"/>
              </w:rPr>
            </w:pPr>
            <w:r w:rsidRPr="000A1558">
              <w:rPr>
                <w:rFonts w:cstheme="minorHAnsi"/>
                <w:b/>
                <w:color w:val="000000"/>
              </w:rPr>
              <w:t>$15.05</w:t>
            </w:r>
          </w:p>
        </w:tc>
        <w:tc>
          <w:tcPr>
            <w:tcW w:w="899" w:type="pct"/>
            <w:vAlign w:val="center"/>
          </w:tcPr>
          <w:p w14:paraId="08604217" w14:textId="77777777" w:rsidR="004A6C7B" w:rsidRPr="00DD20E5" w:rsidRDefault="004A6C7B" w:rsidP="00807045">
            <w:pPr>
              <w:jc w:val="center"/>
              <w:rPr>
                <w:rFonts w:cstheme="minorHAnsi"/>
                <w:b/>
                <w:color w:val="000000"/>
              </w:rPr>
            </w:pPr>
            <w:r w:rsidRPr="00DD20E5">
              <w:rPr>
                <w:rFonts w:cstheme="minorHAnsi"/>
                <w:b/>
                <w:color w:val="000000"/>
              </w:rPr>
              <w:t>$5.03</w:t>
            </w:r>
          </w:p>
        </w:tc>
        <w:tc>
          <w:tcPr>
            <w:tcW w:w="709" w:type="pct"/>
            <w:shd w:val="clear" w:color="auto" w:fill="auto"/>
            <w:noWrap/>
            <w:vAlign w:val="center"/>
          </w:tcPr>
          <w:p w14:paraId="6FD41544" w14:textId="77777777" w:rsidR="004A6C7B" w:rsidRPr="000A1558" w:rsidRDefault="004A6C7B" w:rsidP="00807045">
            <w:pPr>
              <w:jc w:val="center"/>
              <w:rPr>
                <w:rFonts w:cstheme="minorHAnsi"/>
              </w:rPr>
            </w:pPr>
            <w:r w:rsidRPr="000A1558">
              <w:rPr>
                <w:rFonts w:cstheme="minorHAnsi"/>
                <w:color w:val="000000"/>
              </w:rPr>
              <w:t>1.36%</w:t>
            </w:r>
          </w:p>
        </w:tc>
        <w:tc>
          <w:tcPr>
            <w:tcW w:w="714" w:type="pct"/>
            <w:noWrap/>
            <w:vAlign w:val="center"/>
          </w:tcPr>
          <w:p w14:paraId="3640B249" w14:textId="77777777" w:rsidR="004A6C7B" w:rsidRPr="000A1558" w:rsidRDefault="004A6C7B" w:rsidP="00807045">
            <w:pPr>
              <w:jc w:val="center"/>
              <w:rPr>
                <w:rFonts w:cstheme="minorHAnsi"/>
                <w:b/>
              </w:rPr>
            </w:pPr>
            <w:r w:rsidRPr="000A1558">
              <w:rPr>
                <w:rFonts w:cstheme="minorHAnsi"/>
                <w:b/>
              </w:rPr>
              <w:t>1.63</w:t>
            </w:r>
          </w:p>
        </w:tc>
      </w:tr>
      <w:tr w:rsidR="004A6C7B" w:rsidRPr="000A1558" w14:paraId="2945B00B" w14:textId="77777777" w:rsidTr="004A6C7B">
        <w:trPr>
          <w:trHeight w:val="300"/>
        </w:trPr>
        <w:tc>
          <w:tcPr>
            <w:tcW w:w="1467" w:type="pct"/>
            <w:noWrap/>
            <w:hideMark/>
          </w:tcPr>
          <w:p w14:paraId="25B9F60B" w14:textId="77777777" w:rsidR="004A6C7B" w:rsidRPr="000A1558" w:rsidRDefault="004A6C7B" w:rsidP="00807045">
            <w:pPr>
              <w:ind w:left="157" w:hanging="157"/>
              <w:rPr>
                <w:rFonts w:cstheme="minorHAnsi"/>
              </w:rPr>
            </w:pPr>
            <w:r w:rsidRPr="000A1558">
              <w:rPr>
                <w:rFonts w:cstheme="minorHAnsi"/>
              </w:rPr>
              <w:t>Other MSA</w:t>
            </w:r>
          </w:p>
        </w:tc>
        <w:tc>
          <w:tcPr>
            <w:tcW w:w="1211" w:type="pct"/>
            <w:shd w:val="clear" w:color="auto" w:fill="auto"/>
            <w:noWrap/>
            <w:vAlign w:val="center"/>
          </w:tcPr>
          <w:p w14:paraId="6A20C974" w14:textId="77777777" w:rsidR="004A6C7B" w:rsidRPr="000A1558" w:rsidRDefault="004A6C7B" w:rsidP="00807045">
            <w:pPr>
              <w:jc w:val="center"/>
              <w:rPr>
                <w:rFonts w:cstheme="minorHAnsi"/>
                <w:b/>
                <w:bCs/>
                <w:color w:val="000000"/>
              </w:rPr>
            </w:pPr>
            <w:r w:rsidRPr="000A1558">
              <w:rPr>
                <w:rFonts w:cstheme="minorHAnsi"/>
                <w:b/>
                <w:bCs/>
                <w:color w:val="000000"/>
              </w:rPr>
              <w:t>$4.04</w:t>
            </w:r>
          </w:p>
        </w:tc>
        <w:tc>
          <w:tcPr>
            <w:tcW w:w="899" w:type="pct"/>
            <w:vAlign w:val="center"/>
          </w:tcPr>
          <w:p w14:paraId="06DD4F98" w14:textId="77777777" w:rsidR="004A6C7B" w:rsidRPr="00DD20E5" w:rsidRDefault="004A6C7B" w:rsidP="00807045">
            <w:pPr>
              <w:jc w:val="center"/>
              <w:rPr>
                <w:rFonts w:cstheme="minorHAnsi"/>
                <w:color w:val="000000"/>
              </w:rPr>
            </w:pPr>
            <w:r w:rsidRPr="00DD20E5">
              <w:rPr>
                <w:rFonts w:cstheme="minorHAnsi"/>
                <w:color w:val="000000"/>
              </w:rPr>
              <w:t>$2.20</w:t>
            </w:r>
          </w:p>
        </w:tc>
        <w:tc>
          <w:tcPr>
            <w:tcW w:w="709" w:type="pct"/>
            <w:shd w:val="clear" w:color="auto" w:fill="auto"/>
            <w:noWrap/>
            <w:vAlign w:val="center"/>
          </w:tcPr>
          <w:p w14:paraId="734335A2" w14:textId="77777777" w:rsidR="004A6C7B" w:rsidRPr="000A1558" w:rsidRDefault="004A6C7B" w:rsidP="00807045">
            <w:pPr>
              <w:jc w:val="center"/>
              <w:rPr>
                <w:rFonts w:cstheme="minorHAnsi"/>
                <w:color w:val="000000"/>
              </w:rPr>
            </w:pPr>
            <w:r w:rsidRPr="000A1558">
              <w:rPr>
                <w:rFonts w:cstheme="minorHAnsi"/>
                <w:color w:val="000000"/>
              </w:rPr>
              <w:t>2.13%</w:t>
            </w:r>
          </w:p>
        </w:tc>
        <w:tc>
          <w:tcPr>
            <w:tcW w:w="714" w:type="pct"/>
            <w:noWrap/>
            <w:vAlign w:val="center"/>
          </w:tcPr>
          <w:p w14:paraId="746D89A0" w14:textId="77777777" w:rsidR="004A6C7B" w:rsidRPr="000A1558" w:rsidRDefault="004A6C7B" w:rsidP="00807045">
            <w:pPr>
              <w:jc w:val="center"/>
              <w:rPr>
                <w:rFonts w:cstheme="minorHAnsi"/>
              </w:rPr>
            </w:pPr>
            <w:r w:rsidRPr="000A1558">
              <w:rPr>
                <w:rFonts w:cstheme="minorHAnsi"/>
              </w:rPr>
              <w:t>-0.48</w:t>
            </w:r>
          </w:p>
        </w:tc>
      </w:tr>
      <w:tr w:rsidR="004A6C7B" w:rsidRPr="000A1558" w14:paraId="188C6DE1" w14:textId="77777777" w:rsidTr="004A6C7B">
        <w:trPr>
          <w:trHeight w:val="300"/>
        </w:trPr>
        <w:tc>
          <w:tcPr>
            <w:tcW w:w="1467" w:type="pct"/>
            <w:noWrap/>
          </w:tcPr>
          <w:p w14:paraId="717F65A4" w14:textId="77777777" w:rsidR="004A6C7B" w:rsidRPr="000A1558" w:rsidRDefault="004A6C7B" w:rsidP="00807045">
            <w:pPr>
              <w:ind w:left="157" w:hanging="157"/>
              <w:rPr>
                <w:rFonts w:cstheme="minorHAnsi"/>
              </w:rPr>
            </w:pPr>
            <w:r w:rsidRPr="000A1558">
              <w:rPr>
                <w:rFonts w:cstheme="minorHAnsi"/>
              </w:rPr>
              <w:t xml:space="preserve">Residents per Day </w:t>
            </w:r>
          </w:p>
          <w:p w14:paraId="3F6B4801" w14:textId="77777777" w:rsidR="004A6C7B" w:rsidRPr="000A1558" w:rsidRDefault="004A6C7B" w:rsidP="00807045">
            <w:pPr>
              <w:ind w:left="157" w:hanging="157"/>
              <w:rPr>
                <w:rFonts w:cstheme="minorHAnsi"/>
              </w:rPr>
            </w:pPr>
            <w:r w:rsidRPr="000A1558">
              <w:rPr>
                <w:rFonts w:cstheme="minorHAnsi"/>
              </w:rPr>
              <w:t>(15.4 – 317.1)</w:t>
            </w:r>
          </w:p>
        </w:tc>
        <w:tc>
          <w:tcPr>
            <w:tcW w:w="1211" w:type="pct"/>
            <w:shd w:val="clear" w:color="auto" w:fill="auto"/>
            <w:noWrap/>
            <w:vAlign w:val="center"/>
          </w:tcPr>
          <w:p w14:paraId="11B618EC" w14:textId="77777777" w:rsidR="004A6C7B" w:rsidRPr="000A1558" w:rsidRDefault="004A6C7B" w:rsidP="00807045">
            <w:pPr>
              <w:jc w:val="center"/>
              <w:rPr>
                <w:rFonts w:cstheme="minorHAnsi"/>
                <w:b/>
                <w:bCs/>
                <w:color w:val="000000"/>
              </w:rPr>
            </w:pPr>
            <w:r w:rsidRPr="000A1558">
              <w:rPr>
                <w:rFonts w:cstheme="minorHAnsi"/>
                <w:b/>
                <w:bCs/>
                <w:color w:val="000000"/>
              </w:rPr>
              <w:t>$0.05</w:t>
            </w:r>
          </w:p>
        </w:tc>
        <w:tc>
          <w:tcPr>
            <w:tcW w:w="899" w:type="pct"/>
            <w:vAlign w:val="center"/>
          </w:tcPr>
          <w:p w14:paraId="11E6BEF3" w14:textId="77777777" w:rsidR="004A6C7B" w:rsidRPr="00DD20E5" w:rsidRDefault="004A6C7B" w:rsidP="00807045">
            <w:pPr>
              <w:jc w:val="center"/>
              <w:rPr>
                <w:rFonts w:cstheme="minorHAnsi"/>
                <w:b/>
                <w:color w:val="000000"/>
              </w:rPr>
            </w:pPr>
            <w:r w:rsidRPr="00DD20E5">
              <w:rPr>
                <w:rFonts w:cstheme="minorHAnsi"/>
                <w:b/>
                <w:color w:val="000000"/>
              </w:rPr>
              <w:t>-$0.07</w:t>
            </w:r>
          </w:p>
        </w:tc>
        <w:tc>
          <w:tcPr>
            <w:tcW w:w="709" w:type="pct"/>
            <w:shd w:val="clear" w:color="auto" w:fill="auto"/>
            <w:noWrap/>
            <w:vAlign w:val="center"/>
          </w:tcPr>
          <w:p w14:paraId="5C382001" w14:textId="77777777" w:rsidR="004A6C7B" w:rsidRPr="000A1558" w:rsidRDefault="004A6C7B" w:rsidP="00807045">
            <w:pPr>
              <w:jc w:val="center"/>
              <w:rPr>
                <w:rFonts w:cstheme="minorHAnsi"/>
                <w:color w:val="000000"/>
              </w:rPr>
            </w:pPr>
          </w:p>
        </w:tc>
        <w:tc>
          <w:tcPr>
            <w:tcW w:w="714" w:type="pct"/>
            <w:noWrap/>
            <w:vAlign w:val="center"/>
          </w:tcPr>
          <w:p w14:paraId="7030BB40" w14:textId="77777777" w:rsidR="004A6C7B" w:rsidRPr="000A1558" w:rsidRDefault="004A6C7B" w:rsidP="00807045">
            <w:pPr>
              <w:jc w:val="center"/>
              <w:rPr>
                <w:rFonts w:cstheme="minorHAnsi"/>
              </w:rPr>
            </w:pPr>
            <w:r w:rsidRPr="000A1558">
              <w:rPr>
                <w:rFonts w:cstheme="minorHAnsi"/>
              </w:rPr>
              <w:t>-0.003</w:t>
            </w:r>
          </w:p>
        </w:tc>
      </w:tr>
      <w:tr w:rsidR="004A6C7B" w:rsidRPr="000A1558" w14:paraId="1EDE79D2" w14:textId="77777777" w:rsidTr="004A6C7B">
        <w:trPr>
          <w:trHeight w:val="300"/>
        </w:trPr>
        <w:tc>
          <w:tcPr>
            <w:tcW w:w="1467" w:type="pct"/>
            <w:noWrap/>
          </w:tcPr>
          <w:p w14:paraId="5E600C4E" w14:textId="77777777" w:rsidR="004A6C7B" w:rsidRPr="000A1558" w:rsidRDefault="004A6C7B" w:rsidP="00807045">
            <w:pPr>
              <w:ind w:left="157" w:hanging="157"/>
              <w:rPr>
                <w:rFonts w:cstheme="minorHAnsi"/>
              </w:rPr>
            </w:pPr>
            <w:r w:rsidRPr="000A1558">
              <w:rPr>
                <w:rFonts w:cstheme="minorHAnsi"/>
              </w:rPr>
              <w:t xml:space="preserve">Beds (Q4 </w:t>
            </w:r>
            <m:oMath>
              <m:r>
                <w:rPr>
                  <w:rFonts w:ascii="Cambria Math" w:hAnsi="Cambria Math" w:cstheme="minorHAnsi"/>
                </w:rPr>
                <m:t>≥</m:t>
              </m:r>
            </m:oMath>
            <w:r w:rsidRPr="000A1558">
              <w:rPr>
                <w:rFonts w:eastAsiaTheme="minorEastAsia" w:cstheme="minorHAnsi"/>
              </w:rPr>
              <w:t xml:space="preserve"> 97)</w:t>
            </w:r>
          </w:p>
        </w:tc>
        <w:tc>
          <w:tcPr>
            <w:tcW w:w="1211" w:type="pct"/>
            <w:shd w:val="clear" w:color="auto" w:fill="auto"/>
            <w:noWrap/>
            <w:vAlign w:val="center"/>
          </w:tcPr>
          <w:p w14:paraId="25C4F5B0" w14:textId="77777777" w:rsidR="004A6C7B" w:rsidRPr="000A1558" w:rsidRDefault="004A6C7B" w:rsidP="00807045">
            <w:pPr>
              <w:jc w:val="center"/>
              <w:rPr>
                <w:rFonts w:cstheme="minorHAnsi"/>
                <w:b/>
                <w:bCs/>
                <w:color w:val="000000"/>
              </w:rPr>
            </w:pPr>
          </w:p>
        </w:tc>
        <w:tc>
          <w:tcPr>
            <w:tcW w:w="899" w:type="pct"/>
            <w:vAlign w:val="center"/>
          </w:tcPr>
          <w:p w14:paraId="10122341" w14:textId="77777777" w:rsidR="004A6C7B" w:rsidRPr="000A1558" w:rsidRDefault="004A6C7B" w:rsidP="00807045">
            <w:pPr>
              <w:jc w:val="center"/>
              <w:rPr>
                <w:rFonts w:cstheme="minorHAnsi"/>
                <w:b/>
                <w:color w:val="000000"/>
              </w:rPr>
            </w:pPr>
          </w:p>
        </w:tc>
        <w:tc>
          <w:tcPr>
            <w:tcW w:w="709" w:type="pct"/>
            <w:shd w:val="clear" w:color="auto" w:fill="auto"/>
            <w:noWrap/>
            <w:vAlign w:val="center"/>
          </w:tcPr>
          <w:p w14:paraId="22DF1E93" w14:textId="77777777" w:rsidR="004A6C7B" w:rsidRPr="000A1558" w:rsidRDefault="004A6C7B" w:rsidP="00807045">
            <w:pPr>
              <w:jc w:val="center"/>
              <w:rPr>
                <w:rFonts w:cstheme="minorHAnsi"/>
                <w:b/>
                <w:color w:val="000000"/>
              </w:rPr>
            </w:pPr>
            <w:r w:rsidRPr="000A1558">
              <w:rPr>
                <w:rFonts w:cstheme="minorHAnsi"/>
                <w:b/>
                <w:color w:val="000000"/>
              </w:rPr>
              <w:t>2.09%</w:t>
            </w:r>
          </w:p>
        </w:tc>
        <w:tc>
          <w:tcPr>
            <w:tcW w:w="714" w:type="pct"/>
            <w:noWrap/>
            <w:vAlign w:val="center"/>
          </w:tcPr>
          <w:p w14:paraId="64A4BC73" w14:textId="77777777" w:rsidR="004A6C7B" w:rsidRPr="000A1558" w:rsidRDefault="004A6C7B" w:rsidP="00807045">
            <w:pPr>
              <w:jc w:val="center"/>
              <w:rPr>
                <w:rFonts w:cstheme="minorHAnsi"/>
                <w:bCs/>
              </w:rPr>
            </w:pPr>
          </w:p>
        </w:tc>
      </w:tr>
      <w:tr w:rsidR="004A6C7B" w:rsidRPr="000A1558" w14:paraId="491F62A4" w14:textId="77777777" w:rsidTr="004A6C7B">
        <w:trPr>
          <w:trHeight w:val="300"/>
        </w:trPr>
        <w:tc>
          <w:tcPr>
            <w:tcW w:w="1467" w:type="pct"/>
            <w:noWrap/>
          </w:tcPr>
          <w:p w14:paraId="57F4324C" w14:textId="77777777" w:rsidR="004A6C7B" w:rsidRPr="000A1558" w:rsidRDefault="004A6C7B" w:rsidP="00807045">
            <w:pPr>
              <w:ind w:left="157" w:hanging="157"/>
              <w:rPr>
                <w:rFonts w:cstheme="minorHAnsi"/>
              </w:rPr>
            </w:pPr>
            <w:r w:rsidRPr="000A1558">
              <w:rPr>
                <w:rFonts w:cstheme="minorHAnsi"/>
              </w:rPr>
              <w:t xml:space="preserve">Beds (Q1 </w:t>
            </w:r>
            <m:oMath>
              <m:r>
                <w:rPr>
                  <w:rFonts w:ascii="Cambria Math" w:hAnsi="Cambria Math" w:cstheme="minorHAnsi"/>
                </w:rPr>
                <m:t>≤50</m:t>
              </m:r>
            </m:oMath>
            <w:r w:rsidRPr="000A1558">
              <w:rPr>
                <w:rFonts w:eastAsiaTheme="minorEastAsia" w:cstheme="minorHAnsi"/>
              </w:rPr>
              <w:t>)</w:t>
            </w:r>
          </w:p>
        </w:tc>
        <w:tc>
          <w:tcPr>
            <w:tcW w:w="1211" w:type="pct"/>
            <w:shd w:val="clear" w:color="auto" w:fill="auto"/>
            <w:noWrap/>
            <w:vAlign w:val="center"/>
          </w:tcPr>
          <w:p w14:paraId="4E3A729D" w14:textId="77777777" w:rsidR="004A6C7B" w:rsidRPr="000A1558" w:rsidRDefault="004A6C7B" w:rsidP="00807045">
            <w:pPr>
              <w:jc w:val="center"/>
              <w:rPr>
                <w:rFonts w:cstheme="minorHAnsi"/>
                <w:b/>
                <w:bCs/>
                <w:color w:val="000000"/>
              </w:rPr>
            </w:pPr>
          </w:p>
        </w:tc>
        <w:tc>
          <w:tcPr>
            <w:tcW w:w="899" w:type="pct"/>
            <w:vAlign w:val="center"/>
          </w:tcPr>
          <w:p w14:paraId="334BC52E" w14:textId="77777777" w:rsidR="004A6C7B" w:rsidRPr="000A1558" w:rsidRDefault="004A6C7B" w:rsidP="00807045">
            <w:pPr>
              <w:jc w:val="center"/>
              <w:rPr>
                <w:rFonts w:cstheme="minorHAnsi"/>
                <w:b/>
                <w:color w:val="000000"/>
              </w:rPr>
            </w:pPr>
          </w:p>
        </w:tc>
        <w:tc>
          <w:tcPr>
            <w:tcW w:w="709" w:type="pct"/>
            <w:shd w:val="clear" w:color="auto" w:fill="auto"/>
            <w:noWrap/>
            <w:vAlign w:val="center"/>
          </w:tcPr>
          <w:p w14:paraId="7CD84EDF" w14:textId="77777777" w:rsidR="004A6C7B" w:rsidRPr="000A1558" w:rsidRDefault="004A6C7B" w:rsidP="00807045">
            <w:pPr>
              <w:jc w:val="center"/>
              <w:rPr>
                <w:rFonts w:cstheme="minorHAnsi"/>
                <w:b/>
                <w:color w:val="000000"/>
              </w:rPr>
            </w:pPr>
            <w:r w:rsidRPr="000A1558">
              <w:rPr>
                <w:rFonts w:cstheme="minorHAnsi"/>
                <w:b/>
                <w:color w:val="000000"/>
              </w:rPr>
              <w:t>-3.58%</w:t>
            </w:r>
          </w:p>
        </w:tc>
        <w:tc>
          <w:tcPr>
            <w:tcW w:w="714" w:type="pct"/>
            <w:noWrap/>
            <w:vAlign w:val="center"/>
          </w:tcPr>
          <w:p w14:paraId="1156C710" w14:textId="77777777" w:rsidR="004A6C7B" w:rsidRPr="000A1558" w:rsidRDefault="004A6C7B" w:rsidP="00807045">
            <w:pPr>
              <w:jc w:val="center"/>
              <w:rPr>
                <w:rFonts w:cstheme="minorHAnsi"/>
                <w:b/>
                <w:bCs/>
              </w:rPr>
            </w:pPr>
          </w:p>
        </w:tc>
      </w:tr>
      <w:tr w:rsidR="004A6C7B" w:rsidRPr="000A1558" w14:paraId="151D6CA3" w14:textId="77777777" w:rsidTr="004A6C7B">
        <w:trPr>
          <w:trHeight w:val="300"/>
        </w:trPr>
        <w:tc>
          <w:tcPr>
            <w:tcW w:w="1467" w:type="pct"/>
            <w:noWrap/>
          </w:tcPr>
          <w:p w14:paraId="5417FF66" w14:textId="77777777" w:rsidR="004A6C7B" w:rsidRPr="000A1558" w:rsidRDefault="004A6C7B" w:rsidP="00807045">
            <w:pPr>
              <w:ind w:left="157" w:hanging="157"/>
              <w:rPr>
                <w:rFonts w:cstheme="minorHAnsi"/>
              </w:rPr>
            </w:pPr>
            <w:r w:rsidRPr="000A1558">
              <w:rPr>
                <w:rFonts w:cstheme="minorHAnsi"/>
              </w:rPr>
              <w:t>Case-mix</w:t>
            </w:r>
          </w:p>
          <w:p w14:paraId="37ADD362" w14:textId="77777777" w:rsidR="004A6C7B" w:rsidRPr="000A1558" w:rsidRDefault="004A6C7B" w:rsidP="00807045">
            <w:pPr>
              <w:ind w:left="157" w:hanging="157"/>
              <w:rPr>
                <w:rFonts w:cstheme="minorHAnsi"/>
              </w:rPr>
            </w:pPr>
            <w:r w:rsidRPr="000A1558">
              <w:rPr>
                <w:rFonts w:cstheme="minorHAnsi"/>
              </w:rPr>
              <w:t>(0.52 – 1.61)</w:t>
            </w:r>
          </w:p>
        </w:tc>
        <w:tc>
          <w:tcPr>
            <w:tcW w:w="1211" w:type="pct"/>
            <w:shd w:val="clear" w:color="auto" w:fill="auto"/>
            <w:noWrap/>
            <w:vAlign w:val="center"/>
          </w:tcPr>
          <w:p w14:paraId="22931C96" w14:textId="77777777" w:rsidR="004A6C7B" w:rsidRPr="000A1558" w:rsidRDefault="004A6C7B" w:rsidP="00807045">
            <w:pPr>
              <w:jc w:val="center"/>
              <w:rPr>
                <w:rFonts w:cstheme="minorHAnsi"/>
                <w:b/>
                <w:bCs/>
                <w:color w:val="000000"/>
              </w:rPr>
            </w:pPr>
            <w:r w:rsidRPr="000A1558">
              <w:rPr>
                <w:rFonts w:cstheme="minorHAnsi"/>
                <w:b/>
                <w:bCs/>
                <w:color w:val="000000"/>
              </w:rPr>
              <w:t>$54.86</w:t>
            </w:r>
          </w:p>
        </w:tc>
        <w:tc>
          <w:tcPr>
            <w:tcW w:w="899" w:type="pct"/>
            <w:vAlign w:val="center"/>
          </w:tcPr>
          <w:p w14:paraId="00BC7300" w14:textId="77777777" w:rsidR="004A6C7B" w:rsidRPr="00DD20E5" w:rsidRDefault="004A6C7B" w:rsidP="00807045">
            <w:pPr>
              <w:jc w:val="center"/>
              <w:rPr>
                <w:rFonts w:cstheme="minorHAnsi"/>
                <w:b/>
                <w:color w:val="000000"/>
              </w:rPr>
            </w:pPr>
            <w:r w:rsidRPr="00DD20E5">
              <w:rPr>
                <w:rFonts w:cstheme="minorHAnsi"/>
                <w:b/>
                <w:color w:val="000000"/>
              </w:rPr>
              <w:t>$25.34</w:t>
            </w:r>
          </w:p>
        </w:tc>
        <w:tc>
          <w:tcPr>
            <w:tcW w:w="709" w:type="pct"/>
            <w:shd w:val="clear" w:color="auto" w:fill="auto"/>
            <w:noWrap/>
            <w:vAlign w:val="center"/>
          </w:tcPr>
          <w:p w14:paraId="58946592" w14:textId="77777777" w:rsidR="004A6C7B" w:rsidRPr="000A1558" w:rsidRDefault="004A6C7B" w:rsidP="00807045">
            <w:pPr>
              <w:jc w:val="center"/>
              <w:rPr>
                <w:rFonts w:cstheme="minorHAnsi"/>
                <w:color w:val="000000"/>
              </w:rPr>
            </w:pPr>
            <w:r w:rsidRPr="000A1558">
              <w:rPr>
                <w:rFonts w:cstheme="minorHAnsi"/>
                <w:color w:val="000000"/>
              </w:rPr>
              <w:t>-</w:t>
            </w:r>
            <w:r w:rsidRPr="000A1558">
              <w:rPr>
                <w:rFonts w:cstheme="minorHAnsi"/>
                <w:b/>
                <w:color w:val="000000"/>
              </w:rPr>
              <w:t>10.86%</w:t>
            </w:r>
          </w:p>
        </w:tc>
        <w:tc>
          <w:tcPr>
            <w:tcW w:w="714" w:type="pct"/>
            <w:noWrap/>
            <w:vAlign w:val="center"/>
          </w:tcPr>
          <w:p w14:paraId="50097013" w14:textId="77777777" w:rsidR="004A6C7B" w:rsidRPr="000A1558" w:rsidRDefault="004A6C7B" w:rsidP="00807045">
            <w:pPr>
              <w:jc w:val="center"/>
              <w:rPr>
                <w:rFonts w:cstheme="minorHAnsi"/>
                <w:bCs/>
              </w:rPr>
            </w:pPr>
            <w:r w:rsidRPr="000A1558">
              <w:rPr>
                <w:rFonts w:cstheme="minorHAnsi"/>
                <w:bCs/>
              </w:rPr>
              <w:t>-1.59</w:t>
            </w:r>
          </w:p>
        </w:tc>
      </w:tr>
      <w:tr w:rsidR="004A6C7B" w:rsidRPr="000A1558" w14:paraId="27E712D8" w14:textId="77777777" w:rsidTr="004A6C7B">
        <w:trPr>
          <w:trHeight w:val="300"/>
        </w:trPr>
        <w:tc>
          <w:tcPr>
            <w:tcW w:w="1467" w:type="pct"/>
            <w:noWrap/>
          </w:tcPr>
          <w:p w14:paraId="24DD53A0" w14:textId="77777777" w:rsidR="004A6C7B" w:rsidRPr="000A1558" w:rsidRDefault="004A6C7B" w:rsidP="00807045">
            <w:pPr>
              <w:ind w:left="157" w:hanging="157"/>
              <w:rPr>
                <w:rFonts w:cstheme="minorHAnsi"/>
              </w:rPr>
            </w:pPr>
            <w:r w:rsidRPr="000A1558">
              <w:rPr>
                <w:rFonts w:cstheme="minorHAnsi"/>
              </w:rPr>
              <w:t xml:space="preserve">Percent Medicaid Resident </w:t>
            </w:r>
          </w:p>
          <w:p w14:paraId="59DDF39F" w14:textId="77777777" w:rsidR="004A6C7B" w:rsidRPr="000A1558" w:rsidRDefault="004A6C7B" w:rsidP="00807045">
            <w:pPr>
              <w:ind w:left="157" w:hanging="157"/>
              <w:rPr>
                <w:rFonts w:cstheme="minorHAnsi"/>
              </w:rPr>
            </w:pPr>
            <w:r w:rsidRPr="000A1558">
              <w:rPr>
                <w:rFonts w:cstheme="minorHAnsi"/>
              </w:rPr>
              <w:t>Days (0-100)</w:t>
            </w:r>
          </w:p>
        </w:tc>
        <w:tc>
          <w:tcPr>
            <w:tcW w:w="1211" w:type="pct"/>
            <w:shd w:val="clear" w:color="auto" w:fill="auto"/>
            <w:noWrap/>
            <w:vAlign w:val="center"/>
          </w:tcPr>
          <w:p w14:paraId="32D7F414" w14:textId="77777777" w:rsidR="004A6C7B" w:rsidRPr="000A1558" w:rsidRDefault="004A6C7B" w:rsidP="00807045">
            <w:pPr>
              <w:jc w:val="center"/>
              <w:rPr>
                <w:rFonts w:cstheme="minorHAnsi"/>
                <w:b/>
                <w:bCs/>
                <w:color w:val="000000"/>
              </w:rPr>
            </w:pPr>
            <w:r w:rsidRPr="000A1558">
              <w:rPr>
                <w:rFonts w:cstheme="minorHAnsi"/>
                <w:b/>
                <w:bCs/>
                <w:color w:val="000000"/>
              </w:rPr>
              <w:t>-$0.09</w:t>
            </w:r>
          </w:p>
        </w:tc>
        <w:tc>
          <w:tcPr>
            <w:tcW w:w="899" w:type="pct"/>
            <w:vAlign w:val="center"/>
          </w:tcPr>
          <w:p w14:paraId="21BB6A86" w14:textId="77777777" w:rsidR="004A6C7B" w:rsidRPr="000A1558" w:rsidRDefault="004A6C7B" w:rsidP="00807045">
            <w:pPr>
              <w:jc w:val="center"/>
              <w:rPr>
                <w:rFonts w:cstheme="minorHAnsi"/>
                <w:color w:val="000000"/>
              </w:rPr>
            </w:pPr>
            <w:r>
              <w:rPr>
                <w:rFonts w:cstheme="minorHAnsi"/>
                <w:color w:val="000000"/>
              </w:rPr>
              <w:t>$0.01</w:t>
            </w:r>
          </w:p>
        </w:tc>
        <w:tc>
          <w:tcPr>
            <w:tcW w:w="709" w:type="pct"/>
            <w:shd w:val="clear" w:color="auto" w:fill="auto"/>
            <w:noWrap/>
            <w:vAlign w:val="center"/>
          </w:tcPr>
          <w:p w14:paraId="2DF2668E" w14:textId="77777777" w:rsidR="004A6C7B" w:rsidRPr="000A1558" w:rsidRDefault="004A6C7B" w:rsidP="00807045">
            <w:pPr>
              <w:jc w:val="center"/>
              <w:rPr>
                <w:rFonts w:cstheme="minorHAnsi"/>
                <w:color w:val="000000"/>
              </w:rPr>
            </w:pPr>
            <w:r w:rsidRPr="000A1558">
              <w:rPr>
                <w:rFonts w:cstheme="minorHAnsi"/>
                <w:color w:val="000000"/>
              </w:rPr>
              <w:t>-0.03%</w:t>
            </w:r>
          </w:p>
        </w:tc>
        <w:tc>
          <w:tcPr>
            <w:tcW w:w="714" w:type="pct"/>
            <w:noWrap/>
            <w:vAlign w:val="center"/>
          </w:tcPr>
          <w:p w14:paraId="47552130" w14:textId="77777777" w:rsidR="004A6C7B" w:rsidRPr="000A1558" w:rsidRDefault="004A6C7B" w:rsidP="00807045">
            <w:pPr>
              <w:jc w:val="center"/>
              <w:rPr>
                <w:rFonts w:cstheme="minorHAnsi"/>
                <w:b/>
                <w:bCs/>
              </w:rPr>
            </w:pPr>
            <w:r w:rsidRPr="000A1558">
              <w:rPr>
                <w:rFonts w:cstheme="minorHAnsi"/>
                <w:b/>
                <w:bCs/>
              </w:rPr>
              <w:t>-0.05</w:t>
            </w:r>
          </w:p>
        </w:tc>
      </w:tr>
      <w:tr w:rsidR="004A6C7B" w:rsidRPr="000A1558" w14:paraId="4594028A" w14:textId="77777777" w:rsidTr="004A6C7B">
        <w:trPr>
          <w:trHeight w:val="300"/>
        </w:trPr>
        <w:tc>
          <w:tcPr>
            <w:tcW w:w="1467" w:type="pct"/>
            <w:noWrap/>
          </w:tcPr>
          <w:p w14:paraId="66CAAB3A" w14:textId="77777777" w:rsidR="004A6C7B" w:rsidRPr="000A1558" w:rsidRDefault="004A6C7B" w:rsidP="00807045">
            <w:pPr>
              <w:ind w:left="157" w:hanging="157"/>
              <w:rPr>
                <w:rFonts w:cstheme="minorHAnsi"/>
              </w:rPr>
            </w:pPr>
            <w:r w:rsidRPr="000A1558">
              <w:rPr>
                <w:rFonts w:cstheme="minorHAnsi"/>
              </w:rPr>
              <w:t xml:space="preserve">Occupancy Change </w:t>
            </w:r>
          </w:p>
          <w:p w14:paraId="0817CA35" w14:textId="77777777" w:rsidR="004A6C7B" w:rsidRPr="000A1558" w:rsidRDefault="004A6C7B" w:rsidP="00807045">
            <w:pPr>
              <w:ind w:left="157" w:hanging="157"/>
              <w:rPr>
                <w:rFonts w:cstheme="minorHAnsi"/>
              </w:rPr>
            </w:pPr>
            <w:r w:rsidRPr="000A1558">
              <w:rPr>
                <w:rFonts w:cstheme="minorHAnsi"/>
              </w:rPr>
              <w:t>(Base Capacity</w:t>
            </w:r>
            <w:r w:rsidRPr="000A1558">
              <w:rPr>
                <w:rFonts w:cstheme="minorHAnsi"/>
                <w:vertAlign w:val="superscript"/>
              </w:rPr>
              <w:t>*</w:t>
            </w:r>
            <w:r w:rsidRPr="000A1558">
              <w:rPr>
                <w:rFonts w:cstheme="minorHAnsi"/>
              </w:rPr>
              <w:t>, -37.3 – 80.3)</w:t>
            </w:r>
          </w:p>
        </w:tc>
        <w:tc>
          <w:tcPr>
            <w:tcW w:w="1211" w:type="pct"/>
            <w:shd w:val="clear" w:color="auto" w:fill="auto"/>
            <w:noWrap/>
            <w:vAlign w:val="center"/>
          </w:tcPr>
          <w:p w14:paraId="13B50994" w14:textId="77777777" w:rsidR="004A6C7B" w:rsidRPr="000A1558" w:rsidRDefault="004A6C7B" w:rsidP="00807045">
            <w:pPr>
              <w:jc w:val="center"/>
              <w:rPr>
                <w:rFonts w:cstheme="minorHAnsi"/>
                <w:b/>
                <w:bCs/>
                <w:color w:val="000000"/>
              </w:rPr>
            </w:pPr>
            <w:r w:rsidRPr="000A1558">
              <w:rPr>
                <w:rFonts w:cstheme="minorHAnsi"/>
                <w:b/>
                <w:bCs/>
                <w:color w:val="000000"/>
              </w:rPr>
              <w:t>-$0.33</w:t>
            </w:r>
          </w:p>
        </w:tc>
        <w:tc>
          <w:tcPr>
            <w:tcW w:w="899" w:type="pct"/>
            <w:vAlign w:val="center"/>
          </w:tcPr>
          <w:p w14:paraId="233D40B1" w14:textId="77777777" w:rsidR="004A6C7B" w:rsidRPr="00DD20E5" w:rsidRDefault="004A6C7B" w:rsidP="00807045">
            <w:pPr>
              <w:jc w:val="center"/>
              <w:rPr>
                <w:rFonts w:cstheme="minorHAnsi"/>
                <w:b/>
                <w:color w:val="000000"/>
              </w:rPr>
            </w:pPr>
            <w:r w:rsidRPr="00DD20E5">
              <w:rPr>
                <w:rFonts w:cstheme="minorHAnsi"/>
                <w:b/>
                <w:color w:val="000000"/>
              </w:rPr>
              <w:t>-$0.29</w:t>
            </w:r>
          </w:p>
        </w:tc>
        <w:tc>
          <w:tcPr>
            <w:tcW w:w="709" w:type="pct"/>
            <w:shd w:val="clear" w:color="auto" w:fill="auto"/>
            <w:noWrap/>
            <w:vAlign w:val="center"/>
          </w:tcPr>
          <w:p w14:paraId="7FE79C8A" w14:textId="77777777" w:rsidR="004A6C7B" w:rsidRPr="000A1558" w:rsidRDefault="004A6C7B" w:rsidP="00807045">
            <w:pPr>
              <w:jc w:val="center"/>
              <w:rPr>
                <w:rFonts w:cstheme="minorHAnsi"/>
                <w:color w:val="000000"/>
              </w:rPr>
            </w:pPr>
          </w:p>
        </w:tc>
        <w:tc>
          <w:tcPr>
            <w:tcW w:w="714" w:type="pct"/>
            <w:noWrap/>
            <w:vAlign w:val="center"/>
          </w:tcPr>
          <w:p w14:paraId="736D5CF4" w14:textId="77777777" w:rsidR="004A6C7B" w:rsidRPr="000A1558" w:rsidRDefault="004A6C7B" w:rsidP="00807045">
            <w:pPr>
              <w:jc w:val="center"/>
              <w:rPr>
                <w:rFonts w:cstheme="minorHAnsi"/>
              </w:rPr>
            </w:pPr>
            <w:r w:rsidRPr="000A1558">
              <w:rPr>
                <w:rFonts w:cstheme="minorHAnsi"/>
              </w:rPr>
              <w:t>-0.001</w:t>
            </w:r>
          </w:p>
        </w:tc>
      </w:tr>
      <w:tr w:rsidR="004A6C7B" w:rsidRPr="000A1558" w14:paraId="01D6A970" w14:textId="77777777" w:rsidTr="004A6C7B">
        <w:trPr>
          <w:trHeight w:val="300"/>
        </w:trPr>
        <w:tc>
          <w:tcPr>
            <w:tcW w:w="1467" w:type="pct"/>
            <w:noWrap/>
          </w:tcPr>
          <w:p w14:paraId="5A323263" w14:textId="77777777" w:rsidR="004A6C7B" w:rsidRPr="000A1558" w:rsidRDefault="004A6C7B" w:rsidP="00807045">
            <w:pPr>
              <w:ind w:left="157" w:hanging="157"/>
              <w:rPr>
                <w:rFonts w:cstheme="minorHAnsi"/>
              </w:rPr>
            </w:pPr>
            <w:r w:rsidRPr="000A1558">
              <w:rPr>
                <w:rFonts w:cstheme="minorHAnsi"/>
              </w:rPr>
              <w:t>Care Related Cost per Day</w:t>
            </w:r>
          </w:p>
          <w:p w14:paraId="52C3DA07" w14:textId="77777777" w:rsidR="004A6C7B" w:rsidRPr="000A1558" w:rsidRDefault="004A6C7B" w:rsidP="00807045">
            <w:pPr>
              <w:ind w:left="157" w:hanging="157"/>
              <w:rPr>
                <w:rFonts w:cstheme="minorHAnsi"/>
              </w:rPr>
            </w:pPr>
            <w:r w:rsidRPr="000A1558">
              <w:rPr>
                <w:rFonts w:cstheme="minorHAnsi"/>
              </w:rPr>
              <w:t>(51.91 – 222.25)</w:t>
            </w:r>
          </w:p>
        </w:tc>
        <w:tc>
          <w:tcPr>
            <w:tcW w:w="1211" w:type="pct"/>
            <w:shd w:val="clear" w:color="auto" w:fill="auto"/>
            <w:noWrap/>
            <w:vAlign w:val="center"/>
          </w:tcPr>
          <w:p w14:paraId="3E90251F" w14:textId="77777777" w:rsidR="004A6C7B" w:rsidRPr="000A1558" w:rsidRDefault="004A6C7B" w:rsidP="00807045">
            <w:pPr>
              <w:jc w:val="center"/>
              <w:rPr>
                <w:rFonts w:cstheme="minorHAnsi"/>
                <w:b/>
                <w:bCs/>
                <w:color w:val="000000"/>
              </w:rPr>
            </w:pPr>
          </w:p>
        </w:tc>
        <w:tc>
          <w:tcPr>
            <w:tcW w:w="899" w:type="pct"/>
            <w:vAlign w:val="center"/>
          </w:tcPr>
          <w:p w14:paraId="3AECE34A" w14:textId="77777777" w:rsidR="004A6C7B" w:rsidRPr="000A1558" w:rsidRDefault="004A6C7B" w:rsidP="00807045">
            <w:pPr>
              <w:jc w:val="center"/>
              <w:rPr>
                <w:rFonts w:cstheme="minorHAnsi"/>
                <w:color w:val="000000"/>
              </w:rPr>
            </w:pPr>
          </w:p>
        </w:tc>
        <w:tc>
          <w:tcPr>
            <w:tcW w:w="709" w:type="pct"/>
            <w:shd w:val="clear" w:color="auto" w:fill="auto"/>
            <w:noWrap/>
            <w:vAlign w:val="center"/>
          </w:tcPr>
          <w:p w14:paraId="2CD85D3C" w14:textId="77777777" w:rsidR="004A6C7B" w:rsidRPr="000A1558" w:rsidRDefault="004A6C7B" w:rsidP="00807045">
            <w:pPr>
              <w:jc w:val="center"/>
              <w:rPr>
                <w:rFonts w:cstheme="minorHAnsi"/>
                <w:color w:val="000000"/>
              </w:rPr>
            </w:pPr>
          </w:p>
        </w:tc>
        <w:tc>
          <w:tcPr>
            <w:tcW w:w="714" w:type="pct"/>
            <w:noWrap/>
            <w:vAlign w:val="center"/>
          </w:tcPr>
          <w:p w14:paraId="037D87FD" w14:textId="77777777" w:rsidR="004A6C7B" w:rsidRPr="000A1558" w:rsidRDefault="004A6C7B" w:rsidP="00807045">
            <w:pPr>
              <w:jc w:val="center"/>
              <w:rPr>
                <w:rFonts w:cstheme="minorHAnsi"/>
              </w:rPr>
            </w:pPr>
            <w:r w:rsidRPr="000A1558">
              <w:rPr>
                <w:rFonts w:cstheme="minorHAnsi"/>
              </w:rPr>
              <w:t>-0.02</w:t>
            </w:r>
          </w:p>
        </w:tc>
      </w:tr>
      <w:tr w:rsidR="004A6C7B" w:rsidRPr="000A1558" w14:paraId="51AF9A53" w14:textId="77777777" w:rsidTr="004A6C7B">
        <w:trPr>
          <w:trHeight w:val="300"/>
        </w:trPr>
        <w:tc>
          <w:tcPr>
            <w:tcW w:w="1467" w:type="pct"/>
            <w:tcBorders>
              <w:bottom w:val="single" w:sz="4" w:space="0" w:color="auto"/>
            </w:tcBorders>
            <w:noWrap/>
          </w:tcPr>
          <w:p w14:paraId="232EEDD4" w14:textId="77777777" w:rsidR="004A6C7B" w:rsidRPr="000A1558" w:rsidRDefault="004A6C7B" w:rsidP="00807045">
            <w:pPr>
              <w:ind w:left="157" w:hanging="157"/>
              <w:rPr>
                <w:rFonts w:cstheme="minorHAnsi"/>
              </w:rPr>
            </w:pPr>
            <w:r w:rsidRPr="000A1558">
              <w:rPr>
                <w:rFonts w:cstheme="minorHAnsi"/>
              </w:rPr>
              <w:t>VBR * Care Related Cost per Day</w:t>
            </w:r>
          </w:p>
        </w:tc>
        <w:tc>
          <w:tcPr>
            <w:tcW w:w="1211" w:type="pct"/>
            <w:tcBorders>
              <w:bottom w:val="single" w:sz="4" w:space="0" w:color="auto"/>
            </w:tcBorders>
            <w:shd w:val="clear" w:color="auto" w:fill="auto"/>
            <w:noWrap/>
            <w:vAlign w:val="center"/>
          </w:tcPr>
          <w:p w14:paraId="5A66A413" w14:textId="77777777" w:rsidR="004A6C7B" w:rsidRPr="000A1558" w:rsidRDefault="004A6C7B" w:rsidP="00807045">
            <w:pPr>
              <w:jc w:val="center"/>
              <w:rPr>
                <w:rFonts w:cstheme="minorHAnsi"/>
                <w:b/>
                <w:bCs/>
                <w:color w:val="000000"/>
              </w:rPr>
            </w:pPr>
          </w:p>
        </w:tc>
        <w:tc>
          <w:tcPr>
            <w:tcW w:w="899" w:type="pct"/>
            <w:tcBorders>
              <w:bottom w:val="single" w:sz="4" w:space="0" w:color="auto"/>
            </w:tcBorders>
          </w:tcPr>
          <w:p w14:paraId="2EB15760" w14:textId="77777777" w:rsidR="004A6C7B" w:rsidRPr="000A1558" w:rsidRDefault="004A6C7B" w:rsidP="00807045">
            <w:pPr>
              <w:jc w:val="center"/>
              <w:rPr>
                <w:rFonts w:cstheme="minorHAnsi"/>
                <w:color w:val="000000"/>
              </w:rPr>
            </w:pPr>
          </w:p>
        </w:tc>
        <w:tc>
          <w:tcPr>
            <w:tcW w:w="709" w:type="pct"/>
            <w:tcBorders>
              <w:bottom w:val="single" w:sz="4" w:space="0" w:color="auto"/>
            </w:tcBorders>
            <w:shd w:val="clear" w:color="auto" w:fill="auto"/>
            <w:noWrap/>
            <w:vAlign w:val="center"/>
          </w:tcPr>
          <w:p w14:paraId="6471DBFC" w14:textId="77777777" w:rsidR="004A6C7B" w:rsidRPr="000A1558" w:rsidRDefault="004A6C7B" w:rsidP="00807045">
            <w:pPr>
              <w:jc w:val="center"/>
              <w:rPr>
                <w:rFonts w:cstheme="minorHAnsi"/>
                <w:color w:val="000000"/>
              </w:rPr>
            </w:pPr>
          </w:p>
        </w:tc>
        <w:tc>
          <w:tcPr>
            <w:tcW w:w="714" w:type="pct"/>
            <w:tcBorders>
              <w:bottom w:val="single" w:sz="4" w:space="0" w:color="auto"/>
            </w:tcBorders>
            <w:noWrap/>
            <w:vAlign w:val="center"/>
          </w:tcPr>
          <w:p w14:paraId="7F1131C7" w14:textId="77777777" w:rsidR="004A6C7B" w:rsidRPr="000A1558" w:rsidRDefault="004A6C7B" w:rsidP="00807045">
            <w:pPr>
              <w:jc w:val="center"/>
              <w:rPr>
                <w:rFonts w:cstheme="minorHAnsi"/>
              </w:rPr>
            </w:pPr>
            <w:r w:rsidRPr="000A1558">
              <w:rPr>
                <w:rFonts w:cstheme="minorHAnsi"/>
              </w:rPr>
              <w:t>-0.006</w:t>
            </w:r>
          </w:p>
        </w:tc>
      </w:tr>
    </w:tbl>
    <w:p w14:paraId="58C045E1" w14:textId="77777777" w:rsidR="004A6C7B" w:rsidRPr="000A1558" w:rsidRDefault="004A6C7B" w:rsidP="004A6C7B">
      <w:pPr>
        <w:rPr>
          <w:rFonts w:cstheme="minorHAnsi"/>
          <w:sz w:val="22"/>
          <w:szCs w:val="22"/>
        </w:rPr>
      </w:pPr>
      <w:r w:rsidRPr="000A1558">
        <w:rPr>
          <w:rFonts w:cstheme="minorHAnsi"/>
          <w:sz w:val="22"/>
          <w:szCs w:val="22"/>
        </w:rPr>
        <w:t xml:space="preserve">Bolded figures indicate statistical significance at the 5% level. </w:t>
      </w:r>
      <w:r w:rsidRPr="000A1558">
        <w:rPr>
          <w:rFonts w:cstheme="minorHAnsi"/>
          <w:sz w:val="22"/>
          <w:szCs w:val="22"/>
          <w:vertAlign w:val="superscript"/>
        </w:rPr>
        <w:t>&amp;</w:t>
      </w:r>
      <w:r w:rsidRPr="000A1558">
        <w:rPr>
          <w:rFonts w:cstheme="minorHAnsi"/>
          <w:sz w:val="22"/>
          <w:szCs w:val="22"/>
        </w:rPr>
        <w:t xml:space="preserve">Regression coefficients. </w:t>
      </w:r>
      <w:r w:rsidRPr="000A1558">
        <w:rPr>
          <w:rFonts w:cstheme="minorHAnsi"/>
          <w:sz w:val="22"/>
          <w:szCs w:val="22"/>
          <w:vertAlign w:val="superscript"/>
        </w:rPr>
        <w:t>*</w:t>
      </w:r>
      <w:r w:rsidRPr="000A1558">
        <w:rPr>
          <w:rFonts w:cstheme="minorHAnsi"/>
          <w:sz w:val="22"/>
          <w:szCs w:val="22"/>
        </w:rPr>
        <w:t xml:space="preserve">2013 Facility Capacity. </w:t>
      </w:r>
      <w:r w:rsidRPr="000A1558">
        <w:rPr>
          <w:rFonts w:cstheme="minorHAnsi"/>
          <w:sz w:val="22"/>
          <w:szCs w:val="22"/>
          <w:vertAlign w:val="superscript"/>
        </w:rPr>
        <w:t>+</w:t>
      </w:r>
      <w:r w:rsidRPr="000A1558">
        <w:rPr>
          <w:rFonts w:cstheme="minorHAnsi"/>
          <w:sz w:val="22"/>
          <w:szCs w:val="22"/>
        </w:rPr>
        <w:t>Direct Care + Other Care Related Costs per unstandardized day.</w:t>
      </w:r>
    </w:p>
    <w:p w14:paraId="6345BFDF" w14:textId="77777777" w:rsidR="004A6C7B" w:rsidRPr="000A1558" w:rsidRDefault="004A6C7B" w:rsidP="004A6C7B">
      <w:pPr>
        <w:rPr>
          <w:rFonts w:eastAsiaTheme="minorEastAsia" w:cstheme="minorHAnsi"/>
          <w:sz w:val="22"/>
          <w:szCs w:val="22"/>
        </w:rPr>
      </w:pPr>
      <w:r w:rsidRPr="000A1558">
        <w:rPr>
          <w:rFonts w:eastAsiaTheme="minorEastAsia" w:cstheme="minorHAnsi"/>
          <w:sz w:val="22"/>
          <w:szCs w:val="22"/>
        </w:rPr>
        <w:t xml:space="preserve">Note: </w:t>
      </w:r>
      <w:r>
        <w:rPr>
          <w:rFonts w:eastAsiaTheme="minorEastAsia" w:cstheme="minorHAnsi"/>
          <w:sz w:val="22"/>
          <w:szCs w:val="22"/>
        </w:rPr>
        <w:t>O</w:t>
      </w:r>
      <w:r w:rsidRPr="000A1558">
        <w:rPr>
          <w:rFonts w:eastAsiaTheme="minorEastAsia" w:cstheme="minorHAnsi"/>
          <w:sz w:val="22"/>
          <w:szCs w:val="22"/>
        </w:rPr>
        <w:t xml:space="preserve">ccupancy change </w:t>
      </w:r>
      <w:r>
        <w:rPr>
          <w:rFonts w:eastAsiaTheme="minorEastAsia" w:cstheme="minorHAnsi"/>
          <w:sz w:val="22"/>
          <w:szCs w:val="22"/>
        </w:rPr>
        <w:t xml:space="preserve">was </w:t>
      </w:r>
      <w:r w:rsidRPr="000A1558">
        <w:rPr>
          <w:rFonts w:eastAsiaTheme="minorEastAsia" w:cstheme="minorHAnsi"/>
          <w:sz w:val="22"/>
          <w:szCs w:val="22"/>
        </w:rPr>
        <w:t>0 for 2013.</w:t>
      </w:r>
    </w:p>
    <w:p w14:paraId="05DEC6E0" w14:textId="77777777" w:rsidR="00044463" w:rsidRDefault="00044463" w:rsidP="00044463">
      <w:pPr>
        <w:rPr>
          <w:rFonts w:eastAsiaTheme="minorEastAsia"/>
        </w:rPr>
      </w:pPr>
    </w:p>
    <w:p w14:paraId="4E803253" w14:textId="77777777" w:rsidR="004A6C7B" w:rsidRDefault="004A6C7B" w:rsidP="00044463">
      <w:pPr>
        <w:rPr>
          <w:rFonts w:eastAsiaTheme="minorEastAsia"/>
        </w:rPr>
      </w:pPr>
    </w:p>
    <w:p w14:paraId="271787C6" w14:textId="77777777" w:rsidR="00A0262E" w:rsidRDefault="00A0262E" w:rsidP="00044463">
      <w:pPr>
        <w:rPr>
          <w:rFonts w:eastAsiaTheme="minorEastAsia"/>
        </w:rPr>
        <w:sectPr w:rsidR="00A0262E" w:rsidSect="00A0262E">
          <w:pgSz w:w="15840" w:h="12240" w:orient="landscape"/>
          <w:pgMar w:top="1440" w:right="1440" w:bottom="1440" w:left="1440" w:header="720" w:footer="720" w:gutter="0"/>
          <w:cols w:space="720"/>
          <w:docGrid w:linePitch="360"/>
        </w:sectPr>
      </w:pPr>
    </w:p>
    <w:p w14:paraId="4CC086CE" w14:textId="77777777" w:rsidR="00A0262E" w:rsidRDefault="00A0262E" w:rsidP="00044463">
      <w:pPr>
        <w:rPr>
          <w:rFonts w:eastAsiaTheme="minorEastAsia"/>
        </w:rPr>
      </w:pPr>
    </w:p>
    <w:p w14:paraId="11005871" w14:textId="77777777" w:rsidR="00964FED" w:rsidRDefault="00B55DB7" w:rsidP="00273DA4">
      <w:pPr>
        <w:spacing w:line="360" w:lineRule="auto"/>
        <w:textAlignment w:val="baseline"/>
        <w:rPr>
          <w:rFonts w:eastAsia="Times New Roman" w:cstheme="minorHAnsi"/>
          <w:color w:val="000000"/>
        </w:rPr>
      </w:pPr>
      <w:r>
        <w:rPr>
          <w:noProof/>
        </w:rPr>
        <w:drawing>
          <wp:inline distT="0" distB="0" distL="0" distR="0" wp14:anchorId="769FCE0E" wp14:editId="6BB0DF1A">
            <wp:extent cx="4324985" cy="2846070"/>
            <wp:effectExtent l="0" t="0" r="18415" b="11430"/>
            <wp:docPr id="1" name="Chart 1">
              <a:extLst xmlns:a="http://schemas.openxmlformats.org/drawingml/2006/main">
                <a:ext uri="{FF2B5EF4-FFF2-40B4-BE49-F238E27FC236}">
                  <a16:creationId xmlns:a16="http://schemas.microsoft.com/office/drawing/2014/main" id="{6402DC91-03C0-2040-AD03-7398CD046E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4DA517" w14:textId="77777777" w:rsidR="00964FED" w:rsidRDefault="00964FED" w:rsidP="00273DA4">
      <w:pPr>
        <w:spacing w:line="360" w:lineRule="auto"/>
        <w:textAlignment w:val="baseline"/>
        <w:rPr>
          <w:rFonts w:eastAsia="Times New Roman" w:cstheme="minorHAnsi"/>
          <w:color w:val="000000"/>
        </w:rPr>
      </w:pPr>
    </w:p>
    <w:p w14:paraId="1EC34C7B" w14:textId="77777777" w:rsidR="00F3124F" w:rsidRDefault="00B55DB7" w:rsidP="00273DA4">
      <w:pPr>
        <w:spacing w:line="360" w:lineRule="auto"/>
        <w:textAlignment w:val="baseline"/>
        <w:rPr>
          <w:rFonts w:eastAsia="Times New Roman" w:cstheme="minorHAnsi"/>
          <w:color w:val="000000"/>
        </w:rPr>
      </w:pPr>
      <w:r>
        <w:rPr>
          <w:noProof/>
        </w:rPr>
        <w:drawing>
          <wp:inline distT="0" distB="0" distL="0" distR="0" wp14:anchorId="7B6BD790" wp14:editId="73399789">
            <wp:extent cx="4325510" cy="2719346"/>
            <wp:effectExtent l="0" t="0" r="18415" b="11430"/>
            <wp:docPr id="2" name="Chart 2">
              <a:extLst xmlns:a="http://schemas.openxmlformats.org/drawingml/2006/main">
                <a:ext uri="{FF2B5EF4-FFF2-40B4-BE49-F238E27FC236}">
                  <a16:creationId xmlns:a16="http://schemas.microsoft.com/office/drawing/2014/main" id="{DD1BA569-5171-1B43-970A-7E35F414B20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559DE74" w14:textId="77777777" w:rsidR="00F3124F" w:rsidRDefault="00F3124F" w:rsidP="00273DA4">
      <w:pPr>
        <w:spacing w:line="360" w:lineRule="auto"/>
        <w:textAlignment w:val="baseline"/>
        <w:rPr>
          <w:rFonts w:eastAsia="Times New Roman" w:cstheme="minorHAnsi"/>
          <w:color w:val="000000"/>
        </w:rPr>
      </w:pPr>
      <w:r>
        <w:rPr>
          <w:noProof/>
        </w:rPr>
        <w:lastRenderedPageBreak/>
        <w:drawing>
          <wp:inline distT="0" distB="0" distL="0" distR="0" wp14:anchorId="03775617" wp14:editId="142E5273">
            <wp:extent cx="4285753" cy="2814762"/>
            <wp:effectExtent l="0" t="0" r="6985" b="17780"/>
            <wp:docPr id="6" name="Chart 6">
              <a:extLst xmlns:a="http://schemas.openxmlformats.org/drawingml/2006/main">
                <a:ext uri="{FF2B5EF4-FFF2-40B4-BE49-F238E27FC236}">
                  <a16:creationId xmlns:a16="http://schemas.microsoft.com/office/drawing/2014/main" id="{13A513AE-38AD-EC4F-B0B3-346BE44C09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3B7E4D4" w14:textId="77777777" w:rsidR="00964FED" w:rsidRDefault="00964FED" w:rsidP="00273DA4">
      <w:pPr>
        <w:spacing w:line="360" w:lineRule="auto"/>
        <w:textAlignment w:val="baseline"/>
        <w:rPr>
          <w:rFonts w:eastAsia="Times New Roman" w:cstheme="minorHAnsi"/>
          <w:color w:val="000000"/>
        </w:rPr>
      </w:pPr>
    </w:p>
    <w:p w14:paraId="60D266F0" w14:textId="77777777" w:rsidR="0081299D" w:rsidRDefault="00B55DB7" w:rsidP="00273DA4">
      <w:pPr>
        <w:spacing w:line="360" w:lineRule="auto"/>
        <w:textAlignment w:val="baseline"/>
        <w:rPr>
          <w:rFonts w:eastAsia="Times New Roman" w:cstheme="minorHAnsi"/>
          <w:color w:val="000000"/>
        </w:rPr>
      </w:pPr>
      <w:r>
        <w:rPr>
          <w:noProof/>
        </w:rPr>
        <w:drawing>
          <wp:inline distT="0" distB="0" distL="0" distR="0" wp14:anchorId="501DD20E" wp14:editId="2310397B">
            <wp:extent cx="4460682" cy="3053301"/>
            <wp:effectExtent l="0" t="0" r="10160" b="7620"/>
            <wp:docPr id="3" name="Chart 3">
              <a:extLst xmlns:a="http://schemas.openxmlformats.org/drawingml/2006/main">
                <a:ext uri="{FF2B5EF4-FFF2-40B4-BE49-F238E27FC236}">
                  <a16:creationId xmlns:a16="http://schemas.microsoft.com/office/drawing/2014/main" id="{BB999982-A508-EC46-A539-A7238116FB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2C401CC" w14:textId="77777777" w:rsidR="008E77B8" w:rsidRDefault="008E77B8" w:rsidP="00273DA4">
      <w:pPr>
        <w:spacing w:line="360" w:lineRule="auto"/>
        <w:textAlignment w:val="baseline"/>
        <w:rPr>
          <w:rFonts w:eastAsia="Times New Roman" w:cstheme="minorHAnsi"/>
          <w:color w:val="000000"/>
        </w:rPr>
      </w:pPr>
    </w:p>
    <w:p w14:paraId="3485A535" w14:textId="77777777" w:rsidR="008E77B8" w:rsidRDefault="008E77B8" w:rsidP="00273DA4">
      <w:pPr>
        <w:spacing w:line="360" w:lineRule="auto"/>
        <w:textAlignment w:val="baseline"/>
        <w:rPr>
          <w:rFonts w:eastAsia="Times New Roman" w:cstheme="minorHAnsi"/>
          <w:color w:val="000000"/>
        </w:rPr>
      </w:pPr>
      <w:r>
        <w:rPr>
          <w:noProof/>
        </w:rPr>
        <w:lastRenderedPageBreak/>
        <w:drawing>
          <wp:inline distT="0" distB="0" distL="0" distR="0" wp14:anchorId="4079E7B8" wp14:editId="1FBB54FD">
            <wp:extent cx="4285753" cy="2782957"/>
            <wp:effectExtent l="0" t="0" r="6985" b="11430"/>
            <wp:docPr id="4" name="Chart 4">
              <a:extLst xmlns:a="http://schemas.openxmlformats.org/drawingml/2006/main">
                <a:ext uri="{FF2B5EF4-FFF2-40B4-BE49-F238E27FC236}">
                  <a16:creationId xmlns:a16="http://schemas.microsoft.com/office/drawing/2014/main" id="{85D76537-365A-0047-977F-CE21715164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61FC1A5" w14:textId="77777777" w:rsidR="000D29C2" w:rsidRDefault="000D29C2" w:rsidP="00273DA4">
      <w:pPr>
        <w:spacing w:line="360" w:lineRule="auto"/>
        <w:textAlignment w:val="baseline"/>
        <w:rPr>
          <w:rFonts w:eastAsia="Times New Roman" w:cstheme="minorHAnsi"/>
          <w:color w:val="000000"/>
        </w:rPr>
      </w:pPr>
    </w:p>
    <w:p w14:paraId="0B5483D4" w14:textId="77777777" w:rsidR="00E73625" w:rsidRDefault="000D29C2" w:rsidP="00273DA4">
      <w:pPr>
        <w:spacing w:line="360" w:lineRule="auto"/>
        <w:textAlignment w:val="baseline"/>
        <w:rPr>
          <w:rFonts w:eastAsia="Times New Roman" w:cstheme="minorHAnsi"/>
          <w:color w:val="000000"/>
        </w:rPr>
      </w:pPr>
      <w:r>
        <w:rPr>
          <w:noProof/>
        </w:rPr>
        <w:drawing>
          <wp:inline distT="0" distB="0" distL="0" distR="0" wp14:anchorId="70B82AE6" wp14:editId="6452B436">
            <wp:extent cx="4285615" cy="2910178"/>
            <wp:effectExtent l="0" t="0" r="6985" b="11430"/>
            <wp:docPr id="5" name="Chart 5">
              <a:extLst xmlns:a="http://schemas.openxmlformats.org/drawingml/2006/main">
                <a:ext uri="{FF2B5EF4-FFF2-40B4-BE49-F238E27FC236}">
                  <a16:creationId xmlns:a16="http://schemas.microsoft.com/office/drawing/2014/main" id="{97BF0B11-7EDE-3446-AC4C-B6FF2B87D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45207EC" w14:textId="77777777" w:rsidR="00954F94" w:rsidRDefault="00954F94">
      <w:pPr>
        <w:rPr>
          <w:rFonts w:eastAsia="Times New Roman" w:cstheme="minorHAnsi"/>
          <w:color w:val="000000"/>
        </w:rPr>
      </w:pPr>
      <w:r>
        <w:rPr>
          <w:rFonts w:eastAsia="Times New Roman" w:cstheme="minorHAnsi"/>
          <w:color w:val="000000"/>
        </w:rPr>
        <w:br w:type="page"/>
      </w:r>
    </w:p>
    <w:p w14:paraId="1A06D383" w14:textId="77777777" w:rsidR="00954F94" w:rsidRDefault="00954F94" w:rsidP="00954F94">
      <w:pPr>
        <w:pStyle w:val="EndNoteBibliography"/>
        <w:spacing w:after="120"/>
        <w:ind w:left="720" w:hanging="720"/>
        <w:rPr>
          <w:rFonts w:eastAsia="Times New Roman" w:cstheme="minorHAnsi"/>
          <w:color w:val="000000"/>
        </w:rPr>
      </w:pPr>
      <w:r>
        <w:rPr>
          <w:rFonts w:eastAsia="Times New Roman" w:cstheme="minorHAnsi"/>
          <w:color w:val="000000"/>
        </w:rPr>
        <w:lastRenderedPageBreak/>
        <w:t>References</w:t>
      </w:r>
    </w:p>
    <w:p w14:paraId="12ECF5DA" w14:textId="77777777" w:rsidR="00A2334D" w:rsidRPr="00A2334D" w:rsidRDefault="00E73625" w:rsidP="00A2334D">
      <w:pPr>
        <w:pStyle w:val="EndNoteBibliography"/>
        <w:ind w:left="720" w:hanging="720"/>
        <w:rPr>
          <w:noProof/>
        </w:rPr>
      </w:pPr>
      <w:r>
        <w:rPr>
          <w:rFonts w:eastAsia="Times New Roman" w:cstheme="minorHAnsi"/>
          <w:color w:val="000000"/>
        </w:rPr>
        <w:fldChar w:fldCharType="begin"/>
      </w:r>
      <w:r>
        <w:rPr>
          <w:rFonts w:eastAsia="Times New Roman" w:cstheme="minorHAnsi"/>
          <w:color w:val="000000"/>
        </w:rPr>
        <w:instrText xml:space="preserve"> ADDIN EN.REFLIST </w:instrText>
      </w:r>
      <w:r>
        <w:rPr>
          <w:rFonts w:eastAsia="Times New Roman" w:cstheme="minorHAnsi"/>
          <w:color w:val="000000"/>
        </w:rPr>
        <w:fldChar w:fldCharType="separate"/>
      </w:r>
      <w:r w:rsidR="00A2334D" w:rsidRPr="00A2334D">
        <w:rPr>
          <w:noProof/>
        </w:rPr>
        <w:t xml:space="preserve">Arling, G., Job, C., &amp; Cooke, V. (2009). Medicaid nursing home pay for performance: where do we stand? </w:t>
      </w:r>
      <w:r w:rsidR="00A2334D" w:rsidRPr="00A2334D">
        <w:rPr>
          <w:i/>
          <w:noProof/>
        </w:rPr>
        <w:t>Gerontologist, 49</w:t>
      </w:r>
      <w:r w:rsidR="00A2334D" w:rsidRPr="00A2334D">
        <w:rPr>
          <w:noProof/>
        </w:rPr>
        <w:t xml:space="preserve">(5), 587-595. Retrieved from </w:t>
      </w:r>
      <w:hyperlink r:id="rId16" w:history="1">
        <w:r w:rsidR="00A2334D" w:rsidRPr="00A2334D">
          <w:rPr>
            <w:rStyle w:val="Hyperlink"/>
            <w:noProof/>
          </w:rPr>
          <w:t>https://www.ncbi.nlm.nih.gov/pubmed/19458344</w:t>
        </w:r>
      </w:hyperlink>
      <w:r w:rsidR="00A2334D" w:rsidRPr="00A2334D">
        <w:rPr>
          <w:noProof/>
        </w:rPr>
        <w:t>. doi:10.1093/geront/gnp044</w:t>
      </w:r>
    </w:p>
    <w:p w14:paraId="27A05495" w14:textId="77777777" w:rsidR="00A2334D" w:rsidRPr="00A2334D" w:rsidRDefault="00A2334D" w:rsidP="00A2334D">
      <w:pPr>
        <w:pStyle w:val="EndNoteBibliography"/>
        <w:ind w:left="720" w:hanging="720"/>
        <w:rPr>
          <w:noProof/>
        </w:rPr>
      </w:pPr>
      <w:r w:rsidRPr="00A2334D">
        <w:rPr>
          <w:noProof/>
        </w:rPr>
        <w:t xml:space="preserve">Bach-Mortensen, A. M., &amp; Montgomery, P. (2019). Does sector matter for the quality of care services? A secondary analysis of social care services regulated by the Care Inspectorate in Scotland. </w:t>
      </w:r>
      <w:r w:rsidRPr="00A2334D">
        <w:rPr>
          <w:i/>
          <w:noProof/>
        </w:rPr>
        <w:t>BMJ Open, 9</w:t>
      </w:r>
      <w:r w:rsidRPr="00A2334D">
        <w:rPr>
          <w:noProof/>
        </w:rPr>
        <w:t>(2), e022975. doi:10.1136/bmjopen-2018-022975</w:t>
      </w:r>
    </w:p>
    <w:p w14:paraId="4CD9AE4C" w14:textId="77777777" w:rsidR="00A2334D" w:rsidRPr="00A2334D" w:rsidRDefault="00A2334D" w:rsidP="00A2334D">
      <w:pPr>
        <w:pStyle w:val="EndNoteBibliography"/>
        <w:ind w:left="720" w:hanging="720"/>
        <w:rPr>
          <w:noProof/>
        </w:rPr>
      </w:pPr>
      <w:r w:rsidRPr="00A2334D">
        <w:rPr>
          <w:noProof/>
        </w:rPr>
        <w:t xml:space="preserve">Baldwin, R., Chenoweth, L., Dela Rama, M., &amp; Liu, Z. (2015). Quality failures in residential aged care in Australia: The relationship between structural factors and regulation imposed sanctions. </w:t>
      </w:r>
      <w:r w:rsidRPr="00A2334D">
        <w:rPr>
          <w:i/>
          <w:noProof/>
        </w:rPr>
        <w:t>Australas J Ageing, 34</w:t>
      </w:r>
      <w:r w:rsidRPr="00A2334D">
        <w:rPr>
          <w:noProof/>
        </w:rPr>
        <w:t>(4), E7-12. doi:10.1111/ajag.12165</w:t>
      </w:r>
    </w:p>
    <w:p w14:paraId="56006F1A" w14:textId="77777777" w:rsidR="00A2334D" w:rsidRPr="00A2334D" w:rsidRDefault="00A2334D" w:rsidP="00A2334D">
      <w:pPr>
        <w:pStyle w:val="EndNoteBibliography"/>
        <w:ind w:left="720" w:hanging="720"/>
        <w:rPr>
          <w:noProof/>
        </w:rPr>
      </w:pPr>
      <w:r w:rsidRPr="00A2334D">
        <w:rPr>
          <w:noProof/>
        </w:rPr>
        <w:t xml:space="preserve">Barron, D. N., &amp; West, E. (2017). The quasi-market for adult residential care in the UK: Do for-profit, not-for-profit or public sector residential care and nursing homes provide better quality care? </w:t>
      </w:r>
      <w:r w:rsidRPr="00A2334D">
        <w:rPr>
          <w:i/>
          <w:noProof/>
        </w:rPr>
        <w:t>Soc Sci Med, 179</w:t>
      </w:r>
      <w:r w:rsidRPr="00A2334D">
        <w:rPr>
          <w:noProof/>
        </w:rPr>
        <w:t>, 137-146. doi:10.1016/j.socscimed.2017.02.037</w:t>
      </w:r>
    </w:p>
    <w:p w14:paraId="69B31BF3" w14:textId="77777777" w:rsidR="00A2334D" w:rsidRPr="00A2334D" w:rsidRDefault="00A2334D" w:rsidP="00A2334D">
      <w:pPr>
        <w:pStyle w:val="EndNoteBibliography"/>
        <w:ind w:left="720" w:hanging="720"/>
        <w:rPr>
          <w:noProof/>
        </w:rPr>
      </w:pPr>
      <w:r w:rsidRPr="00A2334D">
        <w:rPr>
          <w:noProof/>
        </w:rPr>
        <w:t xml:space="preserve">Bos, A., Boselie, P., &amp; Trappenburg, M. (2017). Financial performance, employee well-being, and client well-being in for-profit and not-for-profit nursing homes: A systematic review. </w:t>
      </w:r>
      <w:r w:rsidRPr="00A2334D">
        <w:rPr>
          <w:i/>
          <w:noProof/>
        </w:rPr>
        <w:t>Health Care Manage Rev, 42</w:t>
      </w:r>
      <w:r w:rsidRPr="00A2334D">
        <w:rPr>
          <w:noProof/>
        </w:rPr>
        <w:t>(4), 352-368. doi:10.1097/hmr.0000000000000121</w:t>
      </w:r>
    </w:p>
    <w:p w14:paraId="17441B83" w14:textId="77777777" w:rsidR="00A2334D" w:rsidRPr="00A2334D" w:rsidRDefault="00A2334D" w:rsidP="00A2334D">
      <w:pPr>
        <w:pStyle w:val="EndNoteBibliography"/>
        <w:ind w:left="720" w:hanging="720"/>
        <w:rPr>
          <w:noProof/>
        </w:rPr>
      </w:pPr>
      <w:r w:rsidRPr="00A2334D">
        <w:rPr>
          <w:noProof/>
        </w:rPr>
        <w:t xml:space="preserve">Briesacher, B. A., Field, T. S., Baril, J., &amp; Gurwitz, J. H. (2009). Pay-for-performance in nursing homes. </w:t>
      </w:r>
      <w:r w:rsidRPr="00A2334D">
        <w:rPr>
          <w:i/>
          <w:noProof/>
        </w:rPr>
        <w:t>Health Care Financ Rev, 30</w:t>
      </w:r>
      <w:r w:rsidRPr="00A2334D">
        <w:rPr>
          <w:noProof/>
        </w:rPr>
        <w:t xml:space="preserve">(3), 1-13. Retrieved from </w:t>
      </w:r>
      <w:hyperlink r:id="rId17" w:history="1">
        <w:r w:rsidRPr="00A2334D">
          <w:rPr>
            <w:rStyle w:val="Hyperlink"/>
            <w:noProof/>
          </w:rPr>
          <w:t>https://www.ncbi.nlm.nih.gov/pubmed/19544931</w:t>
        </w:r>
      </w:hyperlink>
      <w:r w:rsidRPr="00A2334D">
        <w:rPr>
          <w:noProof/>
        </w:rPr>
        <w:t xml:space="preserve">. </w:t>
      </w:r>
    </w:p>
    <w:p w14:paraId="2AE02916" w14:textId="77777777" w:rsidR="00A2334D" w:rsidRPr="00A2334D" w:rsidRDefault="00A2334D" w:rsidP="00A2334D">
      <w:pPr>
        <w:pStyle w:val="EndNoteBibliography"/>
        <w:ind w:left="720" w:hanging="720"/>
        <w:rPr>
          <w:noProof/>
        </w:rPr>
      </w:pPr>
      <w:r w:rsidRPr="00A2334D">
        <w:rPr>
          <w:noProof/>
        </w:rPr>
        <w:t xml:space="preserve">DHS. (2019). Minnesota Nursing Home Report Card, Technical Guide. Retrieved from </w:t>
      </w:r>
      <w:hyperlink r:id="rId18" w:history="1">
        <w:r w:rsidRPr="00A2334D">
          <w:rPr>
            <w:rStyle w:val="Hyperlink"/>
            <w:noProof/>
          </w:rPr>
          <w:t>http://nhreportcard.dhs.mn.gov/technicaluserguide.pdf</w:t>
        </w:r>
      </w:hyperlink>
    </w:p>
    <w:p w14:paraId="7495092E" w14:textId="77777777" w:rsidR="00A2334D" w:rsidRPr="00A2334D" w:rsidRDefault="00A2334D" w:rsidP="00A2334D">
      <w:pPr>
        <w:pStyle w:val="EndNoteBibliography"/>
        <w:ind w:left="720" w:hanging="720"/>
        <w:rPr>
          <w:noProof/>
        </w:rPr>
      </w:pPr>
      <w:r w:rsidRPr="00A2334D">
        <w:rPr>
          <w:noProof/>
        </w:rPr>
        <w:t xml:space="preserve">Geraedts, M., Harrington, C., Schumacher, D., &amp; Kraska, R. (2016). Trade-off Between Quality, Price, and Profit Orientation in Germany's Nursing Homes. </w:t>
      </w:r>
      <w:r w:rsidRPr="00A2334D">
        <w:rPr>
          <w:i/>
          <w:noProof/>
        </w:rPr>
        <w:t>Ageing Int, 41</w:t>
      </w:r>
      <w:r w:rsidRPr="00A2334D">
        <w:rPr>
          <w:noProof/>
        </w:rPr>
        <w:t>, 89-98. doi:10.1007/s12126-015-9227-1</w:t>
      </w:r>
    </w:p>
    <w:p w14:paraId="148E21E6" w14:textId="77777777" w:rsidR="00A2334D" w:rsidRPr="00A2334D" w:rsidRDefault="00A2334D" w:rsidP="00A2334D">
      <w:pPr>
        <w:pStyle w:val="EndNoteBibliography"/>
        <w:ind w:left="720" w:hanging="720"/>
        <w:rPr>
          <w:noProof/>
        </w:rPr>
      </w:pPr>
      <w:r w:rsidRPr="00A2334D">
        <w:rPr>
          <w:noProof/>
        </w:rPr>
        <w:t xml:space="preserve">Godby, T., Saldanha, S., Valle, J., Paul, D. P., 3rd, &amp; Coustasse, A. (2017). Is There a Trade-off Between Quality and Profitability in United States Nursing Homes? </w:t>
      </w:r>
      <w:r w:rsidRPr="00A2334D">
        <w:rPr>
          <w:i/>
          <w:noProof/>
        </w:rPr>
        <w:t>Health Care Manag (Frederick), 36</w:t>
      </w:r>
      <w:r w:rsidRPr="00A2334D">
        <w:rPr>
          <w:noProof/>
        </w:rPr>
        <w:t>(2), 140-146. doi:10.1097/hcm.0000000000000151</w:t>
      </w:r>
    </w:p>
    <w:p w14:paraId="2BB73585" w14:textId="77777777" w:rsidR="00A2334D" w:rsidRPr="00A2334D" w:rsidRDefault="00A2334D" w:rsidP="00A2334D">
      <w:pPr>
        <w:pStyle w:val="EndNoteBibliography"/>
        <w:ind w:left="720" w:hanging="720"/>
        <w:rPr>
          <w:noProof/>
        </w:rPr>
      </w:pPr>
      <w:r w:rsidRPr="00A2334D">
        <w:rPr>
          <w:noProof/>
        </w:rPr>
        <w:t xml:space="preserve">Grabowski, D. C., &amp; Angelelli, J. J. (2004). The relationship of Medicaid payment rates, bed constraint policies, and risk-adjusted pressure ulcers. </w:t>
      </w:r>
      <w:r w:rsidRPr="00A2334D">
        <w:rPr>
          <w:i/>
          <w:noProof/>
        </w:rPr>
        <w:t>Health Serv Res, 39</w:t>
      </w:r>
      <w:r w:rsidRPr="00A2334D">
        <w:rPr>
          <w:noProof/>
        </w:rPr>
        <w:t xml:space="preserve">(4 Pt 1), 793-812. Retrieved from </w:t>
      </w:r>
      <w:hyperlink r:id="rId19" w:history="1">
        <w:r w:rsidRPr="00A2334D">
          <w:rPr>
            <w:rStyle w:val="Hyperlink"/>
            <w:noProof/>
          </w:rPr>
          <w:t>https://www.ncbi.nlm.nih.gov/pubmed/15230928</w:t>
        </w:r>
      </w:hyperlink>
      <w:r w:rsidRPr="00A2334D">
        <w:rPr>
          <w:noProof/>
        </w:rPr>
        <w:t>. doi:10.1111/j.1475-6773.2004.00258.x</w:t>
      </w:r>
    </w:p>
    <w:p w14:paraId="2E8CF54D" w14:textId="77777777" w:rsidR="00A2334D" w:rsidRPr="00A2334D" w:rsidRDefault="00A2334D" w:rsidP="00A2334D">
      <w:pPr>
        <w:pStyle w:val="EndNoteBibliography"/>
        <w:ind w:left="720" w:hanging="720"/>
        <w:rPr>
          <w:noProof/>
        </w:rPr>
      </w:pPr>
      <w:r w:rsidRPr="00A2334D">
        <w:rPr>
          <w:noProof/>
        </w:rPr>
        <w:t xml:space="preserve">Grabowski, D. C., Angelelli, J. J., &amp; Mor, V. (2004). Medicaid payment and risk-adjusted nursing home quality measures. </w:t>
      </w:r>
      <w:r w:rsidRPr="00A2334D">
        <w:rPr>
          <w:i/>
          <w:noProof/>
        </w:rPr>
        <w:t>Health Aff (Millwood), 23</w:t>
      </w:r>
      <w:r w:rsidRPr="00A2334D">
        <w:rPr>
          <w:noProof/>
        </w:rPr>
        <w:t xml:space="preserve">(5), 243-252. Retrieved from </w:t>
      </w:r>
      <w:hyperlink r:id="rId20" w:history="1">
        <w:r w:rsidRPr="00A2334D">
          <w:rPr>
            <w:rStyle w:val="Hyperlink"/>
            <w:noProof/>
          </w:rPr>
          <w:t>https://www.ncbi.nlm.nih.gov/pubmed/15371395</w:t>
        </w:r>
      </w:hyperlink>
      <w:r w:rsidRPr="00A2334D">
        <w:rPr>
          <w:noProof/>
        </w:rPr>
        <w:t>. doi:10.1377/hlthaff.23.5.243</w:t>
      </w:r>
    </w:p>
    <w:p w14:paraId="70AB5779" w14:textId="77777777" w:rsidR="00A2334D" w:rsidRPr="00A2334D" w:rsidRDefault="00A2334D" w:rsidP="00A2334D">
      <w:pPr>
        <w:pStyle w:val="EndNoteBibliography"/>
        <w:ind w:left="720" w:hanging="720"/>
        <w:rPr>
          <w:noProof/>
        </w:rPr>
      </w:pPr>
      <w:r w:rsidRPr="00A2334D">
        <w:rPr>
          <w:noProof/>
        </w:rPr>
        <w:t xml:space="preserve">Hjelmar, U., Bhatti, Y., Petersen, O. H., Rostgaard, T., &amp; Vrangbaek, K. (2018). Public/private ownership and quality of care: Evidence from Danish nursing homes. </w:t>
      </w:r>
      <w:r w:rsidRPr="00A2334D">
        <w:rPr>
          <w:i/>
          <w:noProof/>
        </w:rPr>
        <w:t>Soc Sci Med, 216</w:t>
      </w:r>
      <w:r w:rsidRPr="00A2334D">
        <w:rPr>
          <w:noProof/>
        </w:rPr>
        <w:t>, 41-49. doi:10.1016/j.socscimed.2018.09.029</w:t>
      </w:r>
    </w:p>
    <w:p w14:paraId="7847A840" w14:textId="77777777" w:rsidR="00A2334D" w:rsidRPr="00A2334D" w:rsidRDefault="00A2334D" w:rsidP="00A2334D">
      <w:pPr>
        <w:pStyle w:val="EndNoteBibliography"/>
        <w:ind w:left="720" w:hanging="720"/>
        <w:rPr>
          <w:noProof/>
        </w:rPr>
      </w:pPr>
      <w:r w:rsidRPr="00A2334D">
        <w:rPr>
          <w:noProof/>
        </w:rPr>
        <w:t xml:space="preserve">Mor, V., Gruneir, A., Feng, Z., Grabowski, D. C., Intrator, O., &amp; Zinn, J. (2011). The effect of state policies on nursing home resident outcomes. </w:t>
      </w:r>
      <w:r w:rsidRPr="00A2334D">
        <w:rPr>
          <w:i/>
          <w:noProof/>
        </w:rPr>
        <w:t>J Am Geriatr Soc, 59</w:t>
      </w:r>
      <w:r w:rsidRPr="00A2334D">
        <w:rPr>
          <w:noProof/>
        </w:rPr>
        <w:t xml:space="preserve">(1), 3-9. Retrieved from </w:t>
      </w:r>
      <w:hyperlink r:id="rId21" w:history="1">
        <w:r w:rsidRPr="00A2334D">
          <w:rPr>
            <w:rStyle w:val="Hyperlink"/>
            <w:noProof/>
          </w:rPr>
          <w:t>https://www.ncbi.nlm.nih.gov/pubmed/21198463</w:t>
        </w:r>
      </w:hyperlink>
      <w:r w:rsidRPr="00A2334D">
        <w:rPr>
          <w:noProof/>
        </w:rPr>
        <w:t>. doi:10.1111/j.1532-5415.2010.03230.x</w:t>
      </w:r>
    </w:p>
    <w:p w14:paraId="700EA3A5" w14:textId="77777777" w:rsidR="00A2334D" w:rsidRPr="00A2334D" w:rsidRDefault="00A2334D" w:rsidP="00A2334D">
      <w:pPr>
        <w:pStyle w:val="EndNoteBibliography"/>
        <w:ind w:left="720" w:hanging="720"/>
        <w:rPr>
          <w:noProof/>
        </w:rPr>
      </w:pPr>
      <w:r w:rsidRPr="00A2334D">
        <w:rPr>
          <w:noProof/>
        </w:rPr>
        <w:t xml:space="preserve">Werner, R. M., Konetzka, R. T., &amp; Polsky, D. (2013). The effect of pay-for-performance in nursing homes: evidence from state Medicaid programs. </w:t>
      </w:r>
      <w:r w:rsidRPr="00A2334D">
        <w:rPr>
          <w:i/>
          <w:noProof/>
        </w:rPr>
        <w:t>Health Serv Res, 48</w:t>
      </w:r>
      <w:r w:rsidRPr="00A2334D">
        <w:rPr>
          <w:noProof/>
        </w:rPr>
        <w:t xml:space="preserve">(4), 1393-1414. </w:t>
      </w:r>
      <w:r w:rsidRPr="00A2334D">
        <w:rPr>
          <w:noProof/>
        </w:rPr>
        <w:lastRenderedPageBreak/>
        <w:t xml:space="preserve">Retrieved from </w:t>
      </w:r>
      <w:hyperlink r:id="rId22" w:history="1">
        <w:r w:rsidRPr="00A2334D">
          <w:rPr>
            <w:rStyle w:val="Hyperlink"/>
            <w:noProof/>
          </w:rPr>
          <w:t>https://www.ncbi.nlm.nih.gov/pubmed/23398330</w:t>
        </w:r>
      </w:hyperlink>
      <w:r w:rsidRPr="00A2334D">
        <w:rPr>
          <w:noProof/>
        </w:rPr>
        <w:t>. doi:10.1111/1475-6773.12035</w:t>
      </w:r>
    </w:p>
    <w:p w14:paraId="7CA8EFA4" w14:textId="77777777" w:rsidR="00A2334D" w:rsidRPr="00A2334D" w:rsidRDefault="00A2334D" w:rsidP="00A2334D">
      <w:pPr>
        <w:pStyle w:val="EndNoteBibliography"/>
        <w:ind w:left="720" w:hanging="720"/>
        <w:rPr>
          <w:noProof/>
        </w:rPr>
      </w:pPr>
      <w:r w:rsidRPr="00A2334D">
        <w:rPr>
          <w:noProof/>
        </w:rPr>
        <w:t xml:space="preserve">Werner, R. M., Tamara Konetzka, R., &amp; Liang, K. (2010). State adoption of nursing home pay-for-performance. </w:t>
      </w:r>
      <w:r w:rsidRPr="00A2334D">
        <w:rPr>
          <w:i/>
          <w:noProof/>
        </w:rPr>
        <w:t>Med Care Res Rev, 67</w:t>
      </w:r>
      <w:r w:rsidRPr="00A2334D">
        <w:rPr>
          <w:noProof/>
        </w:rPr>
        <w:t xml:space="preserve">(3), 364-377. Retrieved from </w:t>
      </w:r>
      <w:hyperlink r:id="rId23" w:history="1">
        <w:r w:rsidRPr="00A2334D">
          <w:rPr>
            <w:rStyle w:val="Hyperlink"/>
            <w:noProof/>
          </w:rPr>
          <w:t>https://www.ncbi.nlm.nih.gov/pubmed/19923629</w:t>
        </w:r>
      </w:hyperlink>
      <w:r w:rsidRPr="00A2334D">
        <w:rPr>
          <w:noProof/>
        </w:rPr>
        <w:t>. doi:10.1177/1077558709350885</w:t>
      </w:r>
    </w:p>
    <w:p w14:paraId="77FE6CC6" w14:textId="7E7AA771" w:rsidR="000D29C2" w:rsidRPr="000F3C62" w:rsidRDefault="00E73625" w:rsidP="00273DA4">
      <w:pPr>
        <w:spacing w:line="360" w:lineRule="auto"/>
        <w:textAlignment w:val="baseline"/>
        <w:rPr>
          <w:rFonts w:eastAsia="Times New Roman" w:cstheme="minorHAnsi"/>
          <w:color w:val="000000"/>
        </w:rPr>
      </w:pPr>
      <w:r>
        <w:rPr>
          <w:rFonts w:eastAsia="Times New Roman" w:cstheme="minorHAnsi"/>
          <w:color w:val="000000"/>
        </w:rPr>
        <w:fldChar w:fldCharType="end"/>
      </w:r>
    </w:p>
    <w:sectPr w:rsidR="000D29C2" w:rsidRPr="000F3C62" w:rsidSect="00A02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06875" w14:textId="77777777" w:rsidR="00035020" w:rsidRDefault="00035020" w:rsidP="007C22CB">
      <w:r>
        <w:separator/>
      </w:r>
    </w:p>
  </w:endnote>
  <w:endnote w:type="continuationSeparator" w:id="0">
    <w:p w14:paraId="04AC69FB" w14:textId="77777777" w:rsidR="00035020" w:rsidRDefault="00035020" w:rsidP="007C2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540727"/>
      <w:docPartObj>
        <w:docPartGallery w:val="Page Numbers (Bottom of Page)"/>
        <w:docPartUnique/>
      </w:docPartObj>
    </w:sdtPr>
    <w:sdtEndPr>
      <w:rPr>
        <w:rStyle w:val="PageNumber"/>
      </w:rPr>
    </w:sdtEndPr>
    <w:sdtContent>
      <w:p w14:paraId="48C9851B" w14:textId="77777777" w:rsidR="00BC5725" w:rsidRDefault="00BC5725" w:rsidP="00A23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044196" w14:textId="77777777" w:rsidR="00BC5725" w:rsidRDefault="00BC5725" w:rsidP="007C2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1552462"/>
      <w:docPartObj>
        <w:docPartGallery w:val="Page Numbers (Bottom of Page)"/>
        <w:docPartUnique/>
      </w:docPartObj>
    </w:sdtPr>
    <w:sdtEndPr>
      <w:rPr>
        <w:rStyle w:val="PageNumber"/>
      </w:rPr>
    </w:sdtEndPr>
    <w:sdtContent>
      <w:p w14:paraId="037E6740" w14:textId="49FCA784" w:rsidR="00BC5725" w:rsidRDefault="00BC5725" w:rsidP="00A233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6584E">
          <w:rPr>
            <w:rStyle w:val="PageNumber"/>
            <w:noProof/>
          </w:rPr>
          <w:t>20</w:t>
        </w:r>
        <w:r>
          <w:rPr>
            <w:rStyle w:val="PageNumber"/>
          </w:rPr>
          <w:fldChar w:fldCharType="end"/>
        </w:r>
      </w:p>
    </w:sdtContent>
  </w:sdt>
  <w:p w14:paraId="234BBA73" w14:textId="77777777" w:rsidR="00BC5725" w:rsidRDefault="00BC5725" w:rsidP="007C22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231B3" w14:textId="77777777" w:rsidR="00035020" w:rsidRDefault="00035020" w:rsidP="007C22CB">
      <w:r>
        <w:separator/>
      </w:r>
    </w:p>
  </w:footnote>
  <w:footnote w:type="continuationSeparator" w:id="0">
    <w:p w14:paraId="43F2B862" w14:textId="77777777" w:rsidR="00035020" w:rsidRDefault="00035020" w:rsidP="007C2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204A7"/>
    <w:multiLevelType w:val="multilevel"/>
    <w:tmpl w:val="3A5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92368"/>
    <w:multiLevelType w:val="hybridMultilevel"/>
    <w:tmpl w:val="01266D9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4D5D2EF1"/>
    <w:multiLevelType w:val="multilevel"/>
    <w:tmpl w:val="06789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9t29sauxts0kervr1pzp9xz2fxvvwd50ws&quot;&gt;Copenhagen Present&lt;record-ids&gt;&lt;item&gt;1&lt;/item&gt;&lt;item&gt;5&lt;/item&gt;&lt;item&gt;8&lt;/item&gt;&lt;item&gt;13&lt;/item&gt;&lt;item&gt;14&lt;/item&gt;&lt;item&gt;18&lt;/item&gt;&lt;item&gt;22&lt;/item&gt;&lt;item&gt;24&lt;/item&gt;&lt;item&gt;29&lt;/item&gt;&lt;item&gt;30&lt;/item&gt;&lt;item&gt;31&lt;/item&gt;&lt;item&gt;32&lt;/item&gt;&lt;item&gt;33&lt;/item&gt;&lt;item&gt;34&lt;/item&gt;&lt;item&gt;35&lt;/item&gt;&lt;/record-ids&gt;&lt;/item&gt;&lt;/Libraries&gt;"/>
  </w:docVars>
  <w:rsids>
    <w:rsidRoot w:val="00BB1E54"/>
    <w:rsid w:val="0000279B"/>
    <w:rsid w:val="000079C9"/>
    <w:rsid w:val="000128FB"/>
    <w:rsid w:val="000213AE"/>
    <w:rsid w:val="00035020"/>
    <w:rsid w:val="000354C3"/>
    <w:rsid w:val="00041986"/>
    <w:rsid w:val="00044463"/>
    <w:rsid w:val="0005254F"/>
    <w:rsid w:val="000750AC"/>
    <w:rsid w:val="00081DE6"/>
    <w:rsid w:val="00086CC3"/>
    <w:rsid w:val="000A1558"/>
    <w:rsid w:val="000A3922"/>
    <w:rsid w:val="000A7C32"/>
    <w:rsid w:val="000B1B40"/>
    <w:rsid w:val="000C52FD"/>
    <w:rsid w:val="000D29C2"/>
    <w:rsid w:val="000D6C95"/>
    <w:rsid w:val="000D6FDD"/>
    <w:rsid w:val="000E1B9A"/>
    <w:rsid w:val="000E50BC"/>
    <w:rsid w:val="000F06BE"/>
    <w:rsid w:val="000F3C62"/>
    <w:rsid w:val="000F5294"/>
    <w:rsid w:val="000F69D9"/>
    <w:rsid w:val="00101DD0"/>
    <w:rsid w:val="001074B8"/>
    <w:rsid w:val="00111E0F"/>
    <w:rsid w:val="0012766D"/>
    <w:rsid w:val="00130B0F"/>
    <w:rsid w:val="001525BB"/>
    <w:rsid w:val="00157503"/>
    <w:rsid w:val="00177D6C"/>
    <w:rsid w:val="00192170"/>
    <w:rsid w:val="001957C5"/>
    <w:rsid w:val="00197C53"/>
    <w:rsid w:val="001C6CD2"/>
    <w:rsid w:val="001C7644"/>
    <w:rsid w:val="001E5D6A"/>
    <w:rsid w:val="001F2D3B"/>
    <w:rsid w:val="00201D75"/>
    <w:rsid w:val="002157F0"/>
    <w:rsid w:val="00234A1B"/>
    <w:rsid w:val="00237A3A"/>
    <w:rsid w:val="00245F9D"/>
    <w:rsid w:val="002529B1"/>
    <w:rsid w:val="002674CE"/>
    <w:rsid w:val="00270AC9"/>
    <w:rsid w:val="00273DA4"/>
    <w:rsid w:val="00285F0D"/>
    <w:rsid w:val="002920B8"/>
    <w:rsid w:val="00295111"/>
    <w:rsid w:val="002A09BA"/>
    <w:rsid w:val="002A2F14"/>
    <w:rsid w:val="002A3633"/>
    <w:rsid w:val="002A52E0"/>
    <w:rsid w:val="002B78A0"/>
    <w:rsid w:val="002C3070"/>
    <w:rsid w:val="002C3210"/>
    <w:rsid w:val="002D1D64"/>
    <w:rsid w:val="002D5918"/>
    <w:rsid w:val="002E0981"/>
    <w:rsid w:val="002E7367"/>
    <w:rsid w:val="002F0BE3"/>
    <w:rsid w:val="002F4EF9"/>
    <w:rsid w:val="0030605C"/>
    <w:rsid w:val="00311278"/>
    <w:rsid w:val="003203AB"/>
    <w:rsid w:val="00322E14"/>
    <w:rsid w:val="00325AF5"/>
    <w:rsid w:val="003275B6"/>
    <w:rsid w:val="003374F3"/>
    <w:rsid w:val="00342758"/>
    <w:rsid w:val="0035105D"/>
    <w:rsid w:val="00366750"/>
    <w:rsid w:val="003724ED"/>
    <w:rsid w:val="00373EF5"/>
    <w:rsid w:val="00380DED"/>
    <w:rsid w:val="003F0063"/>
    <w:rsid w:val="003F3221"/>
    <w:rsid w:val="00415A35"/>
    <w:rsid w:val="00417313"/>
    <w:rsid w:val="004356AA"/>
    <w:rsid w:val="004664FE"/>
    <w:rsid w:val="004804C0"/>
    <w:rsid w:val="00485836"/>
    <w:rsid w:val="004913A4"/>
    <w:rsid w:val="004A6C7B"/>
    <w:rsid w:val="004D436C"/>
    <w:rsid w:val="004D6B0D"/>
    <w:rsid w:val="004F6DC8"/>
    <w:rsid w:val="0050031C"/>
    <w:rsid w:val="00500F0C"/>
    <w:rsid w:val="00502993"/>
    <w:rsid w:val="005035F5"/>
    <w:rsid w:val="00506E85"/>
    <w:rsid w:val="00521455"/>
    <w:rsid w:val="00530921"/>
    <w:rsid w:val="00555DE6"/>
    <w:rsid w:val="00561F8C"/>
    <w:rsid w:val="00567A8C"/>
    <w:rsid w:val="0057724C"/>
    <w:rsid w:val="005803C6"/>
    <w:rsid w:val="005923CF"/>
    <w:rsid w:val="00593D95"/>
    <w:rsid w:val="00596845"/>
    <w:rsid w:val="005A6C89"/>
    <w:rsid w:val="005B3460"/>
    <w:rsid w:val="005B3E07"/>
    <w:rsid w:val="005C0544"/>
    <w:rsid w:val="005E11A6"/>
    <w:rsid w:val="0060387F"/>
    <w:rsid w:val="00606737"/>
    <w:rsid w:val="006221AF"/>
    <w:rsid w:val="00623222"/>
    <w:rsid w:val="00632DB0"/>
    <w:rsid w:val="006346DC"/>
    <w:rsid w:val="006412B8"/>
    <w:rsid w:val="006614F1"/>
    <w:rsid w:val="00663E13"/>
    <w:rsid w:val="00665DB7"/>
    <w:rsid w:val="006663E3"/>
    <w:rsid w:val="00667A1E"/>
    <w:rsid w:val="00675D61"/>
    <w:rsid w:val="006834AD"/>
    <w:rsid w:val="00686042"/>
    <w:rsid w:val="00686ECC"/>
    <w:rsid w:val="0069587D"/>
    <w:rsid w:val="006A76AB"/>
    <w:rsid w:val="006C2116"/>
    <w:rsid w:val="006C7959"/>
    <w:rsid w:val="006E574A"/>
    <w:rsid w:val="006F789E"/>
    <w:rsid w:val="007005E4"/>
    <w:rsid w:val="007016F7"/>
    <w:rsid w:val="00704777"/>
    <w:rsid w:val="0070758B"/>
    <w:rsid w:val="007160D1"/>
    <w:rsid w:val="00744640"/>
    <w:rsid w:val="0074568C"/>
    <w:rsid w:val="00745D34"/>
    <w:rsid w:val="00747F40"/>
    <w:rsid w:val="00780AB1"/>
    <w:rsid w:val="00782B4E"/>
    <w:rsid w:val="00783451"/>
    <w:rsid w:val="0079300E"/>
    <w:rsid w:val="007978B8"/>
    <w:rsid w:val="007A5E85"/>
    <w:rsid w:val="007C1CBA"/>
    <w:rsid w:val="007C22CB"/>
    <w:rsid w:val="007D065B"/>
    <w:rsid w:val="007D2D65"/>
    <w:rsid w:val="007D5F1F"/>
    <w:rsid w:val="007D7313"/>
    <w:rsid w:val="007E337A"/>
    <w:rsid w:val="007E78CC"/>
    <w:rsid w:val="007F4A4A"/>
    <w:rsid w:val="007F5C13"/>
    <w:rsid w:val="007F7334"/>
    <w:rsid w:val="00800494"/>
    <w:rsid w:val="00807045"/>
    <w:rsid w:val="0081299D"/>
    <w:rsid w:val="00814746"/>
    <w:rsid w:val="0082365E"/>
    <w:rsid w:val="008274D7"/>
    <w:rsid w:val="008316EF"/>
    <w:rsid w:val="00842822"/>
    <w:rsid w:val="0086384F"/>
    <w:rsid w:val="00867AAA"/>
    <w:rsid w:val="008705E0"/>
    <w:rsid w:val="00891F20"/>
    <w:rsid w:val="008E5428"/>
    <w:rsid w:val="008E77B8"/>
    <w:rsid w:val="009234F5"/>
    <w:rsid w:val="00927060"/>
    <w:rsid w:val="00937306"/>
    <w:rsid w:val="0094215B"/>
    <w:rsid w:val="00946189"/>
    <w:rsid w:val="00946326"/>
    <w:rsid w:val="009510C6"/>
    <w:rsid w:val="00954F94"/>
    <w:rsid w:val="009574C5"/>
    <w:rsid w:val="00960A52"/>
    <w:rsid w:val="00964FED"/>
    <w:rsid w:val="00970C9A"/>
    <w:rsid w:val="00974702"/>
    <w:rsid w:val="009748ED"/>
    <w:rsid w:val="009805DC"/>
    <w:rsid w:val="00984709"/>
    <w:rsid w:val="00986AD5"/>
    <w:rsid w:val="009A05CB"/>
    <w:rsid w:val="009B456D"/>
    <w:rsid w:val="009C1233"/>
    <w:rsid w:val="009E03C8"/>
    <w:rsid w:val="009F0A00"/>
    <w:rsid w:val="009F0F91"/>
    <w:rsid w:val="009F3A0C"/>
    <w:rsid w:val="00A0262E"/>
    <w:rsid w:val="00A032DA"/>
    <w:rsid w:val="00A2334D"/>
    <w:rsid w:val="00A30058"/>
    <w:rsid w:val="00A339E0"/>
    <w:rsid w:val="00A34EEF"/>
    <w:rsid w:val="00A37E54"/>
    <w:rsid w:val="00A44C7C"/>
    <w:rsid w:val="00A54432"/>
    <w:rsid w:val="00A54563"/>
    <w:rsid w:val="00A6261F"/>
    <w:rsid w:val="00A6705D"/>
    <w:rsid w:val="00A87B5C"/>
    <w:rsid w:val="00A938D9"/>
    <w:rsid w:val="00A95566"/>
    <w:rsid w:val="00AA52B4"/>
    <w:rsid w:val="00AB4BF3"/>
    <w:rsid w:val="00AC4B93"/>
    <w:rsid w:val="00AC6DC9"/>
    <w:rsid w:val="00AE26A2"/>
    <w:rsid w:val="00B000AE"/>
    <w:rsid w:val="00B041E6"/>
    <w:rsid w:val="00B2259F"/>
    <w:rsid w:val="00B2341C"/>
    <w:rsid w:val="00B24C00"/>
    <w:rsid w:val="00B253A9"/>
    <w:rsid w:val="00B253E2"/>
    <w:rsid w:val="00B32049"/>
    <w:rsid w:val="00B40939"/>
    <w:rsid w:val="00B4220C"/>
    <w:rsid w:val="00B43A52"/>
    <w:rsid w:val="00B55DB7"/>
    <w:rsid w:val="00B6022C"/>
    <w:rsid w:val="00B65433"/>
    <w:rsid w:val="00B6768E"/>
    <w:rsid w:val="00B8773A"/>
    <w:rsid w:val="00BB1E54"/>
    <w:rsid w:val="00BB1E7B"/>
    <w:rsid w:val="00BC5725"/>
    <w:rsid w:val="00BC7A9B"/>
    <w:rsid w:val="00BC7EF8"/>
    <w:rsid w:val="00BE4E10"/>
    <w:rsid w:val="00BE5232"/>
    <w:rsid w:val="00BF3A18"/>
    <w:rsid w:val="00C04563"/>
    <w:rsid w:val="00C0797F"/>
    <w:rsid w:val="00C23A78"/>
    <w:rsid w:val="00C2764C"/>
    <w:rsid w:val="00C30080"/>
    <w:rsid w:val="00C42A3F"/>
    <w:rsid w:val="00C5611A"/>
    <w:rsid w:val="00C56800"/>
    <w:rsid w:val="00C6584E"/>
    <w:rsid w:val="00C65937"/>
    <w:rsid w:val="00C77CE6"/>
    <w:rsid w:val="00C87EB0"/>
    <w:rsid w:val="00C9330F"/>
    <w:rsid w:val="00C95509"/>
    <w:rsid w:val="00CA5261"/>
    <w:rsid w:val="00CB5E12"/>
    <w:rsid w:val="00CC445D"/>
    <w:rsid w:val="00CC65BD"/>
    <w:rsid w:val="00CE52EC"/>
    <w:rsid w:val="00CE791B"/>
    <w:rsid w:val="00D1050A"/>
    <w:rsid w:val="00D12609"/>
    <w:rsid w:val="00D311B4"/>
    <w:rsid w:val="00D31D49"/>
    <w:rsid w:val="00D42EE4"/>
    <w:rsid w:val="00D44F06"/>
    <w:rsid w:val="00D61E00"/>
    <w:rsid w:val="00D80289"/>
    <w:rsid w:val="00D90894"/>
    <w:rsid w:val="00D956CC"/>
    <w:rsid w:val="00DB0E70"/>
    <w:rsid w:val="00DB7945"/>
    <w:rsid w:val="00E0184C"/>
    <w:rsid w:val="00E030F6"/>
    <w:rsid w:val="00E0787E"/>
    <w:rsid w:val="00E27F6C"/>
    <w:rsid w:val="00E32316"/>
    <w:rsid w:val="00E33279"/>
    <w:rsid w:val="00E45376"/>
    <w:rsid w:val="00E61D86"/>
    <w:rsid w:val="00E73625"/>
    <w:rsid w:val="00E80E5D"/>
    <w:rsid w:val="00E867F5"/>
    <w:rsid w:val="00EA169A"/>
    <w:rsid w:val="00EA7736"/>
    <w:rsid w:val="00EA7AD6"/>
    <w:rsid w:val="00EC13D8"/>
    <w:rsid w:val="00EC5D49"/>
    <w:rsid w:val="00EE58DD"/>
    <w:rsid w:val="00EF5B71"/>
    <w:rsid w:val="00EF5CB8"/>
    <w:rsid w:val="00EF71D4"/>
    <w:rsid w:val="00F0779A"/>
    <w:rsid w:val="00F10F28"/>
    <w:rsid w:val="00F2319B"/>
    <w:rsid w:val="00F3124F"/>
    <w:rsid w:val="00F34393"/>
    <w:rsid w:val="00F506BC"/>
    <w:rsid w:val="00F620A7"/>
    <w:rsid w:val="00F82C29"/>
    <w:rsid w:val="00F92A37"/>
    <w:rsid w:val="00F92A42"/>
    <w:rsid w:val="00F947CB"/>
    <w:rsid w:val="00F95658"/>
    <w:rsid w:val="00FA0650"/>
    <w:rsid w:val="00FA75EC"/>
    <w:rsid w:val="00FB7EDA"/>
    <w:rsid w:val="00FC21DB"/>
    <w:rsid w:val="00FD185D"/>
    <w:rsid w:val="00FE3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9D265"/>
  <w14:defaultImageDpi w14:val="32767"/>
  <w15:chartTrackingRefBased/>
  <w15:docId w15:val="{54CBAF7F-0F01-1D4A-BF4D-039F3CE5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A1B"/>
    <w:rPr>
      <w:color w:val="0563C1" w:themeColor="hyperlink"/>
      <w:u w:val="single"/>
    </w:rPr>
  </w:style>
  <w:style w:type="character" w:customStyle="1" w:styleId="UnresolvedMention1">
    <w:name w:val="Unresolved Mention1"/>
    <w:basedOn w:val="DefaultParagraphFont"/>
    <w:uiPriority w:val="99"/>
    <w:rsid w:val="00234A1B"/>
    <w:rPr>
      <w:color w:val="605E5C"/>
      <w:shd w:val="clear" w:color="auto" w:fill="E1DFDD"/>
    </w:rPr>
  </w:style>
  <w:style w:type="character" w:styleId="FollowedHyperlink">
    <w:name w:val="FollowedHyperlink"/>
    <w:basedOn w:val="DefaultParagraphFont"/>
    <w:uiPriority w:val="99"/>
    <w:semiHidden/>
    <w:unhideWhenUsed/>
    <w:rsid w:val="00234A1B"/>
    <w:rPr>
      <w:color w:val="954F72" w:themeColor="followedHyperlink"/>
      <w:u w:val="single"/>
    </w:rPr>
  </w:style>
  <w:style w:type="character" w:customStyle="1" w:styleId="apple-converted-space">
    <w:name w:val="apple-converted-space"/>
    <w:basedOn w:val="DefaultParagraphFont"/>
    <w:rsid w:val="00234A1B"/>
  </w:style>
  <w:style w:type="character" w:styleId="Strong">
    <w:name w:val="Strong"/>
    <w:basedOn w:val="DefaultParagraphFont"/>
    <w:uiPriority w:val="22"/>
    <w:qFormat/>
    <w:rsid w:val="00234A1B"/>
    <w:rPr>
      <w:b/>
      <w:bCs/>
    </w:rPr>
  </w:style>
  <w:style w:type="paragraph" w:styleId="BalloonText">
    <w:name w:val="Balloon Text"/>
    <w:basedOn w:val="Normal"/>
    <w:link w:val="BalloonTextChar"/>
    <w:uiPriority w:val="99"/>
    <w:semiHidden/>
    <w:unhideWhenUsed/>
    <w:rsid w:val="001E5D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E5D6A"/>
    <w:rPr>
      <w:rFonts w:ascii="Times New Roman" w:hAnsi="Times New Roman" w:cs="Times New Roman"/>
      <w:sz w:val="18"/>
      <w:szCs w:val="18"/>
    </w:rPr>
  </w:style>
  <w:style w:type="table" w:styleId="TableGrid">
    <w:name w:val="Table Grid"/>
    <w:basedOn w:val="TableNormal"/>
    <w:uiPriority w:val="39"/>
    <w:rsid w:val="0004446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E7362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E73625"/>
    <w:rPr>
      <w:rFonts w:ascii="Calibri" w:hAnsi="Calibri" w:cs="Calibri"/>
    </w:rPr>
  </w:style>
  <w:style w:type="paragraph" w:customStyle="1" w:styleId="EndNoteBibliography">
    <w:name w:val="EndNote Bibliography"/>
    <w:basedOn w:val="Normal"/>
    <w:link w:val="EndNoteBibliographyChar"/>
    <w:rsid w:val="00E73625"/>
    <w:rPr>
      <w:rFonts w:ascii="Calibri" w:hAnsi="Calibri" w:cs="Calibri"/>
    </w:rPr>
  </w:style>
  <w:style w:type="character" w:customStyle="1" w:styleId="EndNoteBibliographyChar">
    <w:name w:val="EndNote Bibliography Char"/>
    <w:basedOn w:val="DefaultParagraphFont"/>
    <w:link w:val="EndNoteBibliography"/>
    <w:rsid w:val="00E73625"/>
    <w:rPr>
      <w:rFonts w:ascii="Calibri" w:hAnsi="Calibri" w:cs="Calibri"/>
    </w:rPr>
  </w:style>
  <w:style w:type="character" w:customStyle="1" w:styleId="UnresolvedMention2">
    <w:name w:val="Unresolved Mention2"/>
    <w:basedOn w:val="DefaultParagraphFont"/>
    <w:uiPriority w:val="99"/>
    <w:semiHidden/>
    <w:unhideWhenUsed/>
    <w:rsid w:val="00E73625"/>
    <w:rPr>
      <w:color w:val="605E5C"/>
      <w:shd w:val="clear" w:color="auto" w:fill="E1DFDD"/>
    </w:rPr>
  </w:style>
  <w:style w:type="paragraph" w:styleId="NormalWeb">
    <w:name w:val="Normal (Web)"/>
    <w:basedOn w:val="Normal"/>
    <w:uiPriority w:val="99"/>
    <w:unhideWhenUsed/>
    <w:rsid w:val="00780AB1"/>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7C22CB"/>
    <w:pPr>
      <w:tabs>
        <w:tab w:val="center" w:pos="4680"/>
        <w:tab w:val="right" w:pos="9360"/>
      </w:tabs>
    </w:pPr>
  </w:style>
  <w:style w:type="character" w:customStyle="1" w:styleId="FooterChar">
    <w:name w:val="Footer Char"/>
    <w:basedOn w:val="DefaultParagraphFont"/>
    <w:link w:val="Footer"/>
    <w:uiPriority w:val="99"/>
    <w:rsid w:val="007C22CB"/>
  </w:style>
  <w:style w:type="character" w:styleId="PageNumber">
    <w:name w:val="page number"/>
    <w:basedOn w:val="DefaultParagraphFont"/>
    <w:uiPriority w:val="99"/>
    <w:semiHidden/>
    <w:unhideWhenUsed/>
    <w:rsid w:val="007C22CB"/>
  </w:style>
  <w:style w:type="paragraph" w:styleId="ListParagraph">
    <w:name w:val="List Paragraph"/>
    <w:basedOn w:val="Normal"/>
    <w:uiPriority w:val="34"/>
    <w:qFormat/>
    <w:rsid w:val="00E0184C"/>
    <w:pPr>
      <w:ind w:left="720"/>
      <w:contextualSpacing/>
    </w:pPr>
  </w:style>
  <w:style w:type="character" w:styleId="CommentReference">
    <w:name w:val="annotation reference"/>
    <w:basedOn w:val="DefaultParagraphFont"/>
    <w:uiPriority w:val="99"/>
    <w:semiHidden/>
    <w:unhideWhenUsed/>
    <w:rsid w:val="00E27F6C"/>
    <w:rPr>
      <w:sz w:val="16"/>
      <w:szCs w:val="16"/>
    </w:rPr>
  </w:style>
  <w:style w:type="paragraph" w:styleId="CommentText">
    <w:name w:val="annotation text"/>
    <w:basedOn w:val="Normal"/>
    <w:link w:val="CommentTextChar"/>
    <w:uiPriority w:val="99"/>
    <w:semiHidden/>
    <w:unhideWhenUsed/>
    <w:rsid w:val="00E27F6C"/>
    <w:rPr>
      <w:sz w:val="20"/>
      <w:szCs w:val="20"/>
    </w:rPr>
  </w:style>
  <w:style w:type="character" w:customStyle="1" w:styleId="CommentTextChar">
    <w:name w:val="Comment Text Char"/>
    <w:basedOn w:val="DefaultParagraphFont"/>
    <w:link w:val="CommentText"/>
    <w:uiPriority w:val="99"/>
    <w:semiHidden/>
    <w:rsid w:val="00E27F6C"/>
    <w:rPr>
      <w:sz w:val="20"/>
      <w:szCs w:val="20"/>
    </w:rPr>
  </w:style>
  <w:style w:type="paragraph" w:styleId="CommentSubject">
    <w:name w:val="annotation subject"/>
    <w:basedOn w:val="CommentText"/>
    <w:next w:val="CommentText"/>
    <w:link w:val="CommentSubjectChar"/>
    <w:uiPriority w:val="99"/>
    <w:semiHidden/>
    <w:unhideWhenUsed/>
    <w:rsid w:val="00E27F6C"/>
    <w:rPr>
      <w:b/>
      <w:bCs/>
    </w:rPr>
  </w:style>
  <w:style w:type="character" w:customStyle="1" w:styleId="CommentSubjectChar">
    <w:name w:val="Comment Subject Char"/>
    <w:basedOn w:val="CommentTextChar"/>
    <w:link w:val="CommentSubject"/>
    <w:uiPriority w:val="99"/>
    <w:semiHidden/>
    <w:rsid w:val="00E27F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571755">
      <w:bodyDiv w:val="1"/>
      <w:marLeft w:val="0"/>
      <w:marRight w:val="0"/>
      <w:marTop w:val="0"/>
      <w:marBottom w:val="0"/>
      <w:divBdr>
        <w:top w:val="none" w:sz="0" w:space="0" w:color="auto"/>
        <w:left w:val="none" w:sz="0" w:space="0" w:color="auto"/>
        <w:bottom w:val="none" w:sz="0" w:space="0" w:color="auto"/>
        <w:right w:val="none" w:sz="0" w:space="0" w:color="auto"/>
      </w:divBdr>
    </w:div>
    <w:div w:id="325135031">
      <w:bodyDiv w:val="1"/>
      <w:marLeft w:val="0"/>
      <w:marRight w:val="0"/>
      <w:marTop w:val="0"/>
      <w:marBottom w:val="0"/>
      <w:divBdr>
        <w:top w:val="none" w:sz="0" w:space="0" w:color="auto"/>
        <w:left w:val="none" w:sz="0" w:space="0" w:color="auto"/>
        <w:bottom w:val="none" w:sz="0" w:space="0" w:color="auto"/>
        <w:right w:val="none" w:sz="0" w:space="0" w:color="auto"/>
      </w:divBdr>
    </w:div>
    <w:div w:id="343677566">
      <w:bodyDiv w:val="1"/>
      <w:marLeft w:val="0"/>
      <w:marRight w:val="0"/>
      <w:marTop w:val="0"/>
      <w:marBottom w:val="0"/>
      <w:divBdr>
        <w:top w:val="none" w:sz="0" w:space="0" w:color="auto"/>
        <w:left w:val="none" w:sz="0" w:space="0" w:color="auto"/>
        <w:bottom w:val="none" w:sz="0" w:space="0" w:color="auto"/>
        <w:right w:val="none" w:sz="0" w:space="0" w:color="auto"/>
      </w:divBdr>
    </w:div>
    <w:div w:id="558908693">
      <w:bodyDiv w:val="1"/>
      <w:marLeft w:val="0"/>
      <w:marRight w:val="0"/>
      <w:marTop w:val="0"/>
      <w:marBottom w:val="0"/>
      <w:divBdr>
        <w:top w:val="none" w:sz="0" w:space="0" w:color="auto"/>
        <w:left w:val="none" w:sz="0" w:space="0" w:color="auto"/>
        <w:bottom w:val="none" w:sz="0" w:space="0" w:color="auto"/>
        <w:right w:val="none" w:sz="0" w:space="0" w:color="auto"/>
      </w:divBdr>
    </w:div>
    <w:div w:id="799804844">
      <w:bodyDiv w:val="1"/>
      <w:marLeft w:val="0"/>
      <w:marRight w:val="0"/>
      <w:marTop w:val="0"/>
      <w:marBottom w:val="0"/>
      <w:divBdr>
        <w:top w:val="none" w:sz="0" w:space="0" w:color="auto"/>
        <w:left w:val="none" w:sz="0" w:space="0" w:color="auto"/>
        <w:bottom w:val="none" w:sz="0" w:space="0" w:color="auto"/>
        <w:right w:val="none" w:sz="0" w:space="0" w:color="auto"/>
      </w:divBdr>
    </w:div>
    <w:div w:id="1369598463">
      <w:bodyDiv w:val="1"/>
      <w:marLeft w:val="0"/>
      <w:marRight w:val="0"/>
      <w:marTop w:val="0"/>
      <w:marBottom w:val="0"/>
      <w:divBdr>
        <w:top w:val="none" w:sz="0" w:space="0" w:color="auto"/>
        <w:left w:val="none" w:sz="0" w:space="0" w:color="auto"/>
        <w:bottom w:val="none" w:sz="0" w:space="0" w:color="auto"/>
        <w:right w:val="none" w:sz="0" w:space="0" w:color="auto"/>
      </w:divBdr>
    </w:div>
    <w:div w:id="1516260832">
      <w:bodyDiv w:val="1"/>
      <w:marLeft w:val="0"/>
      <w:marRight w:val="0"/>
      <w:marTop w:val="0"/>
      <w:marBottom w:val="0"/>
      <w:divBdr>
        <w:top w:val="none" w:sz="0" w:space="0" w:color="auto"/>
        <w:left w:val="none" w:sz="0" w:space="0" w:color="auto"/>
        <w:bottom w:val="none" w:sz="0" w:space="0" w:color="auto"/>
        <w:right w:val="none" w:sz="0" w:space="0" w:color="auto"/>
      </w:divBdr>
    </w:div>
    <w:div w:id="1594436153">
      <w:bodyDiv w:val="1"/>
      <w:marLeft w:val="0"/>
      <w:marRight w:val="0"/>
      <w:marTop w:val="0"/>
      <w:marBottom w:val="0"/>
      <w:divBdr>
        <w:top w:val="none" w:sz="0" w:space="0" w:color="auto"/>
        <w:left w:val="none" w:sz="0" w:space="0" w:color="auto"/>
        <w:bottom w:val="none" w:sz="0" w:space="0" w:color="auto"/>
        <w:right w:val="none" w:sz="0" w:space="0" w:color="auto"/>
      </w:divBdr>
    </w:div>
    <w:div w:id="1598639530">
      <w:bodyDiv w:val="1"/>
      <w:marLeft w:val="0"/>
      <w:marRight w:val="0"/>
      <w:marTop w:val="0"/>
      <w:marBottom w:val="0"/>
      <w:divBdr>
        <w:top w:val="none" w:sz="0" w:space="0" w:color="auto"/>
        <w:left w:val="none" w:sz="0" w:space="0" w:color="auto"/>
        <w:bottom w:val="none" w:sz="0" w:space="0" w:color="auto"/>
        <w:right w:val="none" w:sz="0" w:space="0" w:color="auto"/>
      </w:divBdr>
    </w:div>
    <w:div w:id="1647273822">
      <w:bodyDiv w:val="1"/>
      <w:marLeft w:val="0"/>
      <w:marRight w:val="0"/>
      <w:marTop w:val="0"/>
      <w:marBottom w:val="0"/>
      <w:divBdr>
        <w:top w:val="none" w:sz="0" w:space="0" w:color="auto"/>
        <w:left w:val="none" w:sz="0" w:space="0" w:color="auto"/>
        <w:bottom w:val="none" w:sz="0" w:space="0" w:color="auto"/>
        <w:right w:val="none" w:sz="0" w:space="0" w:color="auto"/>
      </w:divBdr>
    </w:div>
    <w:div w:id="1712418931">
      <w:bodyDiv w:val="1"/>
      <w:marLeft w:val="0"/>
      <w:marRight w:val="0"/>
      <w:marTop w:val="0"/>
      <w:marBottom w:val="0"/>
      <w:divBdr>
        <w:top w:val="none" w:sz="0" w:space="0" w:color="auto"/>
        <w:left w:val="none" w:sz="0" w:space="0" w:color="auto"/>
        <w:bottom w:val="none" w:sz="0" w:space="0" w:color="auto"/>
        <w:right w:val="none" w:sz="0" w:space="0" w:color="auto"/>
      </w:divBdr>
    </w:div>
    <w:div w:id="1731077674">
      <w:bodyDiv w:val="1"/>
      <w:marLeft w:val="0"/>
      <w:marRight w:val="0"/>
      <w:marTop w:val="0"/>
      <w:marBottom w:val="0"/>
      <w:divBdr>
        <w:top w:val="none" w:sz="0" w:space="0" w:color="auto"/>
        <w:left w:val="none" w:sz="0" w:space="0" w:color="auto"/>
        <w:bottom w:val="none" w:sz="0" w:space="0" w:color="auto"/>
        <w:right w:val="none" w:sz="0" w:space="0" w:color="auto"/>
      </w:divBdr>
    </w:div>
    <w:div w:id="1760104351">
      <w:bodyDiv w:val="1"/>
      <w:marLeft w:val="0"/>
      <w:marRight w:val="0"/>
      <w:marTop w:val="0"/>
      <w:marBottom w:val="0"/>
      <w:divBdr>
        <w:top w:val="none" w:sz="0" w:space="0" w:color="auto"/>
        <w:left w:val="none" w:sz="0" w:space="0" w:color="auto"/>
        <w:bottom w:val="none" w:sz="0" w:space="0" w:color="auto"/>
        <w:right w:val="none" w:sz="0" w:space="0" w:color="auto"/>
      </w:divBdr>
      <w:divsChild>
        <w:div w:id="971055809">
          <w:marLeft w:val="0"/>
          <w:marRight w:val="0"/>
          <w:marTop w:val="0"/>
          <w:marBottom w:val="0"/>
          <w:divBdr>
            <w:top w:val="none" w:sz="0" w:space="0" w:color="auto"/>
            <w:left w:val="none" w:sz="0" w:space="0" w:color="auto"/>
            <w:bottom w:val="none" w:sz="0" w:space="0" w:color="auto"/>
            <w:right w:val="none" w:sz="0" w:space="0" w:color="auto"/>
          </w:divBdr>
          <w:divsChild>
            <w:div w:id="840705625">
              <w:marLeft w:val="0"/>
              <w:marRight w:val="0"/>
              <w:marTop w:val="0"/>
              <w:marBottom w:val="0"/>
              <w:divBdr>
                <w:top w:val="none" w:sz="0" w:space="0" w:color="auto"/>
                <w:left w:val="none" w:sz="0" w:space="0" w:color="auto"/>
                <w:bottom w:val="none" w:sz="0" w:space="0" w:color="auto"/>
                <w:right w:val="none" w:sz="0" w:space="0" w:color="auto"/>
              </w:divBdr>
              <w:divsChild>
                <w:div w:id="6158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9052">
      <w:bodyDiv w:val="1"/>
      <w:marLeft w:val="0"/>
      <w:marRight w:val="0"/>
      <w:marTop w:val="0"/>
      <w:marBottom w:val="0"/>
      <w:divBdr>
        <w:top w:val="none" w:sz="0" w:space="0" w:color="auto"/>
        <w:left w:val="none" w:sz="0" w:space="0" w:color="auto"/>
        <w:bottom w:val="none" w:sz="0" w:space="0" w:color="auto"/>
        <w:right w:val="none" w:sz="0" w:space="0" w:color="auto"/>
      </w:divBdr>
    </w:div>
    <w:div w:id="1889487890">
      <w:bodyDiv w:val="1"/>
      <w:marLeft w:val="0"/>
      <w:marRight w:val="0"/>
      <w:marTop w:val="0"/>
      <w:marBottom w:val="0"/>
      <w:divBdr>
        <w:top w:val="none" w:sz="0" w:space="0" w:color="auto"/>
        <w:left w:val="none" w:sz="0" w:space="0" w:color="auto"/>
        <w:bottom w:val="none" w:sz="0" w:space="0" w:color="auto"/>
        <w:right w:val="none" w:sz="0" w:space="0" w:color="auto"/>
      </w:divBdr>
    </w:div>
    <w:div w:id="213825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4.xml"/><Relationship Id="rId18" Type="http://schemas.openxmlformats.org/officeDocument/2006/relationships/hyperlink" Target="http://nhreportcard.dhs.mn.gov/technicaluserguide.pdf" TargetMode="External"/><Relationship Id="rId3" Type="http://schemas.openxmlformats.org/officeDocument/2006/relationships/styles" Target="styles.xml"/><Relationship Id="rId21" Type="http://schemas.openxmlformats.org/officeDocument/2006/relationships/hyperlink" Target="https://www.ncbi.nlm.nih.gov/pubmed/21198463"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www.ncbi.nlm.nih.gov/pubmed/1954493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ncbi.nlm.nih.gov/pubmed/19458344" TargetMode="External"/><Relationship Id="rId20" Type="http://schemas.openxmlformats.org/officeDocument/2006/relationships/hyperlink" Target="https://www.ncbi.nlm.nih.gov/pubmed/153713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yperlink" Target="https://www.ncbi.nlm.nih.gov/pubmed/19923629" TargetMode="External"/><Relationship Id="rId10" Type="http://schemas.openxmlformats.org/officeDocument/2006/relationships/chart" Target="charts/chart1.xml"/><Relationship Id="rId19" Type="http://schemas.openxmlformats.org/officeDocument/2006/relationships/hyperlink" Target="https://www.ncbi.nlm.nih.gov/pubmed/15230928"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5.xml"/><Relationship Id="rId22" Type="http://schemas.openxmlformats.org/officeDocument/2006/relationships/hyperlink" Target="https://www.ncbi.nlm.nih.gov/pubmed/2339833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2026-May-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2026-May-2019.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gregadmin\Desktop\Copenhagen%20Presentation\VBR%20Leg%20Report%20Tables%2026-May-2019.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Figure 1.</a:t>
            </a:r>
            <a:r>
              <a:rPr lang="en-US" sz="1050" baseline="0"/>
              <a:t> </a:t>
            </a:r>
            <a:r>
              <a:rPr lang="en-US" sz="1050"/>
              <a:t>Facility</a:t>
            </a:r>
            <a:r>
              <a:rPr lang="en-US" sz="1050" baseline="0"/>
              <a:t> Mean Total Cost Per Diem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Cost x Own'!$A$6</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Own'!$H$6:$H$10</c:f>
              <c:numCache>
                <c:formatCode>_("$"* #,##0.00_);_("$"* \(#,##0.00\);_("$"* "-"??_);_(@_)</c:formatCode>
                <c:ptCount val="5"/>
                <c:pt idx="0">
                  <c:v>159.76240000000001</c:v>
                </c:pt>
                <c:pt idx="1">
                  <c:v>167.5438</c:v>
                </c:pt>
                <c:pt idx="2">
                  <c:v>166.7595</c:v>
                </c:pt>
                <c:pt idx="3">
                  <c:v>184.86259999999999</c:v>
                </c:pt>
                <c:pt idx="4">
                  <c:v>199.55860000000001</c:v>
                </c:pt>
              </c:numCache>
            </c:numRef>
          </c:val>
          <c:smooth val="0"/>
          <c:extLst>
            <c:ext xmlns:c16="http://schemas.microsoft.com/office/drawing/2014/chart" uri="{C3380CC4-5D6E-409C-BE32-E72D297353CC}">
              <c16:uniqueId val="{00000000-332A-A242-AC26-C3A8F484A74F}"/>
            </c:ext>
          </c:extLst>
        </c:ser>
        <c:ser>
          <c:idx val="1"/>
          <c:order val="1"/>
          <c:tx>
            <c:strRef>
              <c:f>'CPN Cost x Own'!$A$12</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Own'!$H$12:$H$16</c:f>
              <c:numCache>
                <c:formatCode>_("$"* #,##0.00_);_("$"* \(#,##0.00\);_("$"* "-"??_);_(@_)</c:formatCode>
                <c:ptCount val="5"/>
                <c:pt idx="0">
                  <c:v>183.40989999999999</c:v>
                </c:pt>
                <c:pt idx="1">
                  <c:v>182.78299999999999</c:v>
                </c:pt>
                <c:pt idx="2">
                  <c:v>192.864</c:v>
                </c:pt>
                <c:pt idx="3">
                  <c:v>204.71199999999999</c:v>
                </c:pt>
                <c:pt idx="4">
                  <c:v>221.4579</c:v>
                </c:pt>
              </c:numCache>
            </c:numRef>
          </c:val>
          <c:smooth val="0"/>
          <c:extLst>
            <c:ext xmlns:c16="http://schemas.microsoft.com/office/drawing/2014/chart" uri="{C3380CC4-5D6E-409C-BE32-E72D297353CC}">
              <c16:uniqueId val="{00000001-332A-A242-AC26-C3A8F484A74F}"/>
            </c:ext>
          </c:extLst>
        </c:ser>
        <c:ser>
          <c:idx val="2"/>
          <c:order val="2"/>
          <c:tx>
            <c:strRef>
              <c:f>'CPN Cost x Own'!$A$18</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Own'!$H$18:$H$22</c:f>
              <c:numCache>
                <c:formatCode>_("$"* #,##0.00_);_("$"* \(#,##0.00\);_("$"* "-"??_);_(@_)</c:formatCode>
                <c:ptCount val="5"/>
                <c:pt idx="0">
                  <c:v>175.35509999999999</c:v>
                </c:pt>
                <c:pt idx="1">
                  <c:v>180.07589999999999</c:v>
                </c:pt>
                <c:pt idx="2">
                  <c:v>184.88929999999999</c:v>
                </c:pt>
                <c:pt idx="3">
                  <c:v>204.34309999999999</c:v>
                </c:pt>
                <c:pt idx="4">
                  <c:v>214.21520000000001</c:v>
                </c:pt>
              </c:numCache>
            </c:numRef>
          </c:val>
          <c:smooth val="0"/>
          <c:extLst>
            <c:ext xmlns:c16="http://schemas.microsoft.com/office/drawing/2014/chart" uri="{C3380CC4-5D6E-409C-BE32-E72D297353CC}">
              <c16:uniqueId val="{00000002-332A-A242-AC26-C3A8F484A74F}"/>
            </c:ext>
          </c:extLst>
        </c:ser>
        <c:dLbls>
          <c:showLegendKey val="0"/>
          <c:showVal val="0"/>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in val="13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Figure 2. Facility Mean</a:t>
            </a:r>
            <a:r>
              <a:rPr lang="en-US" sz="1050" baseline="0"/>
              <a:t> Care-Related Cost Per Diem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Cost x Own'!$A$6</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Own'!$M$6:$M$10</c:f>
              <c:numCache>
                <c:formatCode>_("$"* #,##0.00_);_("$"* \(#,##0.00\);_("$"* "-"??_);_(@_)</c:formatCode>
                <c:ptCount val="5"/>
                <c:pt idx="0">
                  <c:v>100.5448</c:v>
                </c:pt>
                <c:pt idx="1">
                  <c:v>104.12439999999999</c:v>
                </c:pt>
                <c:pt idx="2">
                  <c:v>104.6121</c:v>
                </c:pt>
                <c:pt idx="3">
                  <c:v>117.58750000000001</c:v>
                </c:pt>
                <c:pt idx="4">
                  <c:v>127.07899999999999</c:v>
                </c:pt>
              </c:numCache>
            </c:numRef>
          </c:val>
          <c:smooth val="0"/>
          <c:extLst>
            <c:ext xmlns:c16="http://schemas.microsoft.com/office/drawing/2014/chart" uri="{C3380CC4-5D6E-409C-BE32-E72D297353CC}">
              <c16:uniqueId val="{00000000-4A96-9440-AA08-284B4C328B18}"/>
            </c:ext>
          </c:extLst>
        </c:ser>
        <c:ser>
          <c:idx val="1"/>
          <c:order val="1"/>
          <c:tx>
            <c:strRef>
              <c:f>'CPN Cost x Own'!$A$12</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Own'!$M$12:$M$16</c:f>
              <c:numCache>
                <c:formatCode>_("$"* #,##0.00_);_("$"* \(#,##0.00\);_("$"* "-"??_);_(@_)</c:formatCode>
                <c:ptCount val="5"/>
                <c:pt idx="0">
                  <c:v>119.4204</c:v>
                </c:pt>
                <c:pt idx="1">
                  <c:v>117.1465</c:v>
                </c:pt>
                <c:pt idx="2">
                  <c:v>123.8468</c:v>
                </c:pt>
                <c:pt idx="3">
                  <c:v>133.24469999999999</c:v>
                </c:pt>
                <c:pt idx="4">
                  <c:v>144.36770000000001</c:v>
                </c:pt>
              </c:numCache>
            </c:numRef>
          </c:val>
          <c:smooth val="0"/>
          <c:extLst>
            <c:ext xmlns:c16="http://schemas.microsoft.com/office/drawing/2014/chart" uri="{C3380CC4-5D6E-409C-BE32-E72D297353CC}">
              <c16:uniqueId val="{00000001-4A96-9440-AA08-284B4C328B18}"/>
            </c:ext>
          </c:extLst>
        </c:ser>
        <c:ser>
          <c:idx val="2"/>
          <c:order val="2"/>
          <c:tx>
            <c:strRef>
              <c:f>'CPN Cost x Own'!$A$18</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Own'!$M$18:$M$22</c:f>
              <c:numCache>
                <c:formatCode>_("$"* #,##0.00_);_("$"* \(#,##0.00\);_("$"* "-"??_);_(@_)</c:formatCode>
                <c:ptCount val="5"/>
                <c:pt idx="0">
                  <c:v>114.0376</c:v>
                </c:pt>
                <c:pt idx="1">
                  <c:v>115.47450000000001</c:v>
                </c:pt>
                <c:pt idx="2">
                  <c:v>118.6168</c:v>
                </c:pt>
                <c:pt idx="3">
                  <c:v>132.80889999999999</c:v>
                </c:pt>
                <c:pt idx="4">
                  <c:v>139.857</c:v>
                </c:pt>
              </c:numCache>
            </c:numRef>
          </c:val>
          <c:smooth val="0"/>
          <c:extLst>
            <c:ext xmlns:c16="http://schemas.microsoft.com/office/drawing/2014/chart" uri="{C3380CC4-5D6E-409C-BE32-E72D297353CC}">
              <c16:uniqueId val="{00000002-4A96-9440-AA08-284B4C328B18}"/>
            </c:ext>
          </c:extLst>
        </c:ser>
        <c:dLbls>
          <c:dLblPos val="t"/>
          <c:showLegendKey val="0"/>
          <c:showVal val="1"/>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Figure 3. Facility Mean</a:t>
            </a:r>
            <a:r>
              <a:rPr lang="en-US" sz="1050" baseline="0"/>
              <a:t> Other Operating Cost Per Diem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Cost x Own'!$A$6</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Own'!$P$6:$P$10</c:f>
              <c:numCache>
                <c:formatCode>"$"#,##0.00</c:formatCode>
                <c:ptCount val="5"/>
                <c:pt idx="0">
                  <c:v>59.21761201676</c:v>
                </c:pt>
                <c:pt idx="1">
                  <c:v>63.419409402097997</c:v>
                </c:pt>
                <c:pt idx="2">
                  <c:v>62.147446994735198</c:v>
                </c:pt>
                <c:pt idx="3">
                  <c:v>67.275108017971107</c:v>
                </c:pt>
                <c:pt idx="4">
                  <c:v>72.479656134254498</c:v>
                </c:pt>
              </c:numCache>
            </c:numRef>
          </c:val>
          <c:smooth val="0"/>
          <c:extLst>
            <c:ext xmlns:c16="http://schemas.microsoft.com/office/drawing/2014/chart" uri="{C3380CC4-5D6E-409C-BE32-E72D297353CC}">
              <c16:uniqueId val="{00000000-986D-1F4D-9AFA-8734FE032B93}"/>
            </c:ext>
          </c:extLst>
        </c:ser>
        <c:ser>
          <c:idx val="1"/>
          <c:order val="1"/>
          <c:tx>
            <c:strRef>
              <c:f>'CPN Cost x Own'!$A$12</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Own'!$P$12:$P$16</c:f>
              <c:numCache>
                <c:formatCode>"$"#,##0.00</c:formatCode>
                <c:ptCount val="5"/>
                <c:pt idx="0">
                  <c:v>63.989496333914197</c:v>
                </c:pt>
                <c:pt idx="1">
                  <c:v>65.636547657571398</c:v>
                </c:pt>
                <c:pt idx="2">
                  <c:v>69.017259847941105</c:v>
                </c:pt>
                <c:pt idx="3">
                  <c:v>71.467294336600006</c:v>
                </c:pt>
                <c:pt idx="4">
                  <c:v>77.090210304533301</c:v>
                </c:pt>
              </c:numCache>
            </c:numRef>
          </c:val>
          <c:smooth val="0"/>
          <c:extLst>
            <c:ext xmlns:c16="http://schemas.microsoft.com/office/drawing/2014/chart" uri="{C3380CC4-5D6E-409C-BE32-E72D297353CC}">
              <c16:uniqueId val="{00000001-986D-1F4D-9AFA-8734FE032B93}"/>
            </c:ext>
          </c:extLst>
        </c:ser>
        <c:ser>
          <c:idx val="2"/>
          <c:order val="2"/>
          <c:tx>
            <c:strRef>
              <c:f>'CPN Cost x Own'!$A$18</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1"/>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86D-1F4D-9AFA-8734FE032B93}"/>
                </c:ext>
              </c:extLst>
            </c:dLbl>
            <c:dLbl>
              <c:idx val="2"/>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86D-1F4D-9AFA-8734FE032B93}"/>
                </c:ext>
              </c:extLst>
            </c:dLbl>
            <c:dLbl>
              <c:idx val="3"/>
              <c:dLblPos val="b"/>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86D-1F4D-9AFA-8734FE032B93}"/>
                </c:ext>
              </c:extLst>
            </c:dLbl>
            <c:dLbl>
              <c:idx val="4"/>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86D-1F4D-9AFA-8734FE032B9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Own'!$P$18:$P$22</c:f>
              <c:numCache>
                <c:formatCode>"$"#,##0.00</c:formatCode>
                <c:ptCount val="5"/>
                <c:pt idx="0">
                  <c:v>61.317502429502298</c:v>
                </c:pt>
                <c:pt idx="1">
                  <c:v>64.601456395791402</c:v>
                </c:pt>
                <c:pt idx="2">
                  <c:v>66.272549849367905</c:v>
                </c:pt>
                <c:pt idx="3">
                  <c:v>71.534191181999901</c:v>
                </c:pt>
                <c:pt idx="4">
                  <c:v>74.358176104370102</c:v>
                </c:pt>
              </c:numCache>
            </c:numRef>
          </c:val>
          <c:smooth val="0"/>
          <c:extLst>
            <c:ext xmlns:c16="http://schemas.microsoft.com/office/drawing/2014/chart" uri="{C3380CC4-5D6E-409C-BE32-E72D297353CC}">
              <c16:uniqueId val="{00000006-986D-1F4D-9AFA-8734FE032B93}"/>
            </c:ext>
          </c:extLst>
        </c:ser>
        <c:dLbls>
          <c:dLblPos val="t"/>
          <c:showLegendKey val="0"/>
          <c:showVal val="1"/>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in val="55"/>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Figure 4. Facility Mean</a:t>
            </a:r>
            <a:r>
              <a:rPr lang="en-US" sz="1050" baseline="0"/>
              <a:t> Care-Related Cost Percent of Total Cost Per Diem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Cost x Own'!$A$6</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Own'!$O$6:$O$10</c:f>
              <c:numCache>
                <c:formatCode>0.0%</c:formatCode>
                <c:ptCount val="5"/>
                <c:pt idx="0">
                  <c:v>0.62929999999999997</c:v>
                </c:pt>
                <c:pt idx="1">
                  <c:v>0.621</c:v>
                </c:pt>
                <c:pt idx="2">
                  <c:v>0.62670000000000003</c:v>
                </c:pt>
                <c:pt idx="3">
                  <c:v>0.63429999999999997</c:v>
                </c:pt>
                <c:pt idx="4">
                  <c:v>0.63629999999999998</c:v>
                </c:pt>
              </c:numCache>
            </c:numRef>
          </c:val>
          <c:smooth val="0"/>
          <c:extLst>
            <c:ext xmlns:c16="http://schemas.microsoft.com/office/drawing/2014/chart" uri="{C3380CC4-5D6E-409C-BE32-E72D297353CC}">
              <c16:uniqueId val="{00000000-7994-C54D-BEED-959EBB87C1B5}"/>
            </c:ext>
          </c:extLst>
        </c:ser>
        <c:ser>
          <c:idx val="1"/>
          <c:order val="1"/>
          <c:tx>
            <c:strRef>
              <c:f>'CPN Cost x Own'!$A$12</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Own'!$O$12:$O$16</c:f>
              <c:numCache>
                <c:formatCode>0.0%</c:formatCode>
                <c:ptCount val="5"/>
                <c:pt idx="0">
                  <c:v>0.65029999999999999</c:v>
                </c:pt>
                <c:pt idx="1">
                  <c:v>0.64219999999999999</c:v>
                </c:pt>
                <c:pt idx="2">
                  <c:v>0.64900000000000002</c:v>
                </c:pt>
                <c:pt idx="3">
                  <c:v>0.65400000000000003</c:v>
                </c:pt>
                <c:pt idx="4">
                  <c:v>0.65210000000000001</c:v>
                </c:pt>
              </c:numCache>
            </c:numRef>
          </c:val>
          <c:smooth val="0"/>
          <c:extLst>
            <c:ext xmlns:c16="http://schemas.microsoft.com/office/drawing/2014/chart" uri="{C3380CC4-5D6E-409C-BE32-E72D297353CC}">
              <c16:uniqueId val="{00000001-7994-C54D-BEED-959EBB87C1B5}"/>
            </c:ext>
          </c:extLst>
        </c:ser>
        <c:ser>
          <c:idx val="2"/>
          <c:order val="2"/>
          <c:tx>
            <c:strRef>
              <c:f>'CPN Cost x Own'!$A$18</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Cost x Own'!$O$18:$O$22</c:f>
              <c:numCache>
                <c:formatCode>0.0%</c:formatCode>
                <c:ptCount val="5"/>
                <c:pt idx="0">
                  <c:v>0.6502</c:v>
                </c:pt>
                <c:pt idx="1">
                  <c:v>0.64280000000000004</c:v>
                </c:pt>
                <c:pt idx="2">
                  <c:v>0.64300000000000002</c:v>
                </c:pt>
                <c:pt idx="3">
                  <c:v>0.65159999999999996</c:v>
                </c:pt>
                <c:pt idx="4">
                  <c:v>0.65449999999999997</c:v>
                </c:pt>
              </c:numCache>
            </c:numRef>
          </c:val>
          <c:smooth val="0"/>
          <c:extLst>
            <c:ext xmlns:c16="http://schemas.microsoft.com/office/drawing/2014/chart" uri="{C3380CC4-5D6E-409C-BE32-E72D297353CC}">
              <c16:uniqueId val="{00000002-7994-C54D-BEED-959EBB87C1B5}"/>
            </c:ext>
          </c:extLst>
        </c:ser>
        <c:dLbls>
          <c:dLblPos val="t"/>
          <c:showLegendKey val="0"/>
          <c:showVal val="1"/>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ax val="0.68000000000000016"/>
          <c:min val="0.610000000000000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aseline="0"/>
              <a:t>Figure 5. Mean Facility Occupancy Rate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Occ x Own'!$A$7</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 by Own'!$B$6:$B$10</c:f>
              <c:numCache>
                <c:formatCode>General</c:formatCode>
                <c:ptCount val="5"/>
                <c:pt idx="0">
                  <c:v>2013</c:v>
                </c:pt>
                <c:pt idx="1">
                  <c:v>2014</c:v>
                </c:pt>
                <c:pt idx="2">
                  <c:v>2015</c:v>
                </c:pt>
                <c:pt idx="3">
                  <c:v>2016</c:v>
                </c:pt>
                <c:pt idx="4">
                  <c:v>2017</c:v>
                </c:pt>
              </c:numCache>
            </c:numRef>
          </c:cat>
          <c:val>
            <c:numRef>
              <c:f>'CPN Occ x Own'!$C$7:$C$11</c:f>
              <c:numCache>
                <c:formatCode>0.000</c:formatCode>
                <c:ptCount val="5"/>
                <c:pt idx="0">
                  <c:v>0.86240000000000006</c:v>
                </c:pt>
                <c:pt idx="1">
                  <c:v>0.84627450980392105</c:v>
                </c:pt>
                <c:pt idx="2">
                  <c:v>0.83705882352941197</c:v>
                </c:pt>
                <c:pt idx="3">
                  <c:v>0.80673076923076903</c:v>
                </c:pt>
                <c:pt idx="4">
                  <c:v>0.78236363636363604</c:v>
                </c:pt>
              </c:numCache>
            </c:numRef>
          </c:val>
          <c:smooth val="0"/>
          <c:extLst>
            <c:ext xmlns:c16="http://schemas.microsoft.com/office/drawing/2014/chart" uri="{C3380CC4-5D6E-409C-BE32-E72D297353CC}">
              <c16:uniqueId val="{00000000-14ED-EC4E-8C3C-EBE49EDC0051}"/>
            </c:ext>
          </c:extLst>
        </c:ser>
        <c:ser>
          <c:idx val="1"/>
          <c:order val="1"/>
          <c:tx>
            <c:strRef>
              <c:f>'CPN Occ x Own'!$A$13</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 by Own'!$B$6:$B$10</c:f>
              <c:numCache>
                <c:formatCode>General</c:formatCode>
                <c:ptCount val="5"/>
                <c:pt idx="0">
                  <c:v>2013</c:v>
                </c:pt>
                <c:pt idx="1">
                  <c:v>2014</c:v>
                </c:pt>
                <c:pt idx="2">
                  <c:v>2015</c:v>
                </c:pt>
                <c:pt idx="3">
                  <c:v>2016</c:v>
                </c:pt>
                <c:pt idx="4">
                  <c:v>2017</c:v>
                </c:pt>
              </c:numCache>
            </c:numRef>
          </c:cat>
          <c:val>
            <c:numRef>
              <c:f>'CPN Occ x Own'!$C$13:$C$17</c:f>
              <c:numCache>
                <c:formatCode>0.000</c:formatCode>
                <c:ptCount val="5"/>
                <c:pt idx="0">
                  <c:v>0.875142857142857</c:v>
                </c:pt>
                <c:pt idx="1">
                  <c:v>0.86457142857142899</c:v>
                </c:pt>
                <c:pt idx="2">
                  <c:v>0.83588235294117696</c:v>
                </c:pt>
                <c:pt idx="3">
                  <c:v>0.84533333333333305</c:v>
                </c:pt>
                <c:pt idx="4">
                  <c:v>0.84099999999999997</c:v>
                </c:pt>
              </c:numCache>
            </c:numRef>
          </c:val>
          <c:smooth val="0"/>
          <c:extLst>
            <c:ext xmlns:c16="http://schemas.microsoft.com/office/drawing/2014/chart" uri="{C3380CC4-5D6E-409C-BE32-E72D297353CC}">
              <c16:uniqueId val="{00000001-14ED-EC4E-8C3C-EBE49EDC0051}"/>
            </c:ext>
          </c:extLst>
        </c:ser>
        <c:ser>
          <c:idx val="2"/>
          <c:order val="2"/>
          <c:tx>
            <c:strRef>
              <c:f>'CPN Occ x Own'!$A$19</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'Rev by Own'!$B$6:$B$10</c:f>
              <c:numCache>
                <c:formatCode>General</c:formatCode>
                <c:ptCount val="5"/>
                <c:pt idx="0">
                  <c:v>2013</c:v>
                </c:pt>
                <c:pt idx="1">
                  <c:v>2014</c:v>
                </c:pt>
                <c:pt idx="2">
                  <c:v>2015</c:v>
                </c:pt>
                <c:pt idx="3">
                  <c:v>2016</c:v>
                </c:pt>
                <c:pt idx="4">
                  <c:v>2017</c:v>
                </c:pt>
              </c:numCache>
            </c:numRef>
          </c:cat>
          <c:val>
            <c:numRef>
              <c:f>'CPN Occ x Own'!$C$19:$C$23</c:f>
              <c:numCache>
                <c:formatCode>0.000</c:formatCode>
                <c:ptCount val="5"/>
                <c:pt idx="0">
                  <c:v>0.90267605633802805</c:v>
                </c:pt>
                <c:pt idx="1">
                  <c:v>0.90800947867298598</c:v>
                </c:pt>
                <c:pt idx="2">
                  <c:v>0.89466981132075496</c:v>
                </c:pt>
                <c:pt idx="3">
                  <c:v>0.87901869158878498</c:v>
                </c:pt>
                <c:pt idx="4">
                  <c:v>0.87879807692307699</c:v>
                </c:pt>
              </c:numCache>
            </c:numRef>
          </c:val>
          <c:smooth val="0"/>
          <c:extLst>
            <c:ext xmlns:c16="http://schemas.microsoft.com/office/drawing/2014/chart" uri="{C3380CC4-5D6E-409C-BE32-E72D297353CC}">
              <c16:uniqueId val="{00000002-14ED-EC4E-8C3C-EBE49EDC0051}"/>
            </c:ext>
          </c:extLst>
        </c:ser>
        <c:dLbls>
          <c:dLblPos val="t"/>
          <c:showLegendKey val="0"/>
          <c:showVal val="1"/>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a:t>Figure 6. Facility Mean</a:t>
            </a:r>
            <a:r>
              <a:rPr lang="en-US" sz="1050" baseline="0"/>
              <a:t> VBR Quality Score by Ownership</a:t>
            </a:r>
            <a:endParaRPr lang="en-US" sz="1050"/>
          </a:p>
        </c:rich>
      </c:tx>
      <c:overlay val="0"/>
      <c:spPr>
        <a:noFill/>
        <a:ln>
          <a:noFill/>
        </a:ln>
        <a:effectLst/>
      </c:spPr>
      <c:txPr>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'CPN own x VBR '!$A$5</c:f>
              <c:strCache>
                <c:ptCount val="1"/>
                <c:pt idx="0">
                  <c:v>For Profit</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own x VBR '!$C$5:$C$9</c:f>
              <c:numCache>
                <c:formatCode>0.0</c:formatCode>
                <c:ptCount val="5"/>
                <c:pt idx="0">
                  <c:v>74.386765303367298</c:v>
                </c:pt>
                <c:pt idx="1">
                  <c:v>74.460503890980306</c:v>
                </c:pt>
                <c:pt idx="2">
                  <c:v>74.145024969313695</c:v>
                </c:pt>
                <c:pt idx="3">
                  <c:v>75.170238509903797</c:v>
                </c:pt>
                <c:pt idx="4">
                  <c:v>75.324442715272696</c:v>
                </c:pt>
              </c:numCache>
            </c:numRef>
          </c:val>
          <c:smooth val="0"/>
          <c:extLst>
            <c:ext xmlns:c16="http://schemas.microsoft.com/office/drawing/2014/chart" uri="{C3380CC4-5D6E-409C-BE32-E72D297353CC}">
              <c16:uniqueId val="{00000000-4E22-C943-9C7C-9E4BA716664A}"/>
            </c:ext>
          </c:extLst>
        </c:ser>
        <c:ser>
          <c:idx val="1"/>
          <c:order val="1"/>
          <c:tx>
            <c:strRef>
              <c:f>'CPN own x VBR '!$A$11</c:f>
              <c:strCache>
                <c:ptCount val="1"/>
                <c:pt idx="0">
                  <c:v>Government</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E22-C943-9C7C-9E4BA71666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own x VBR '!$C$11:$C$15</c:f>
              <c:numCache>
                <c:formatCode>0.0</c:formatCode>
                <c:ptCount val="5"/>
                <c:pt idx="0">
                  <c:v>74.471814279142805</c:v>
                </c:pt>
                <c:pt idx="1">
                  <c:v>76.225060796857093</c:v>
                </c:pt>
                <c:pt idx="2">
                  <c:v>77.402948887941093</c:v>
                </c:pt>
                <c:pt idx="3">
                  <c:v>77.220994839333301</c:v>
                </c:pt>
                <c:pt idx="4">
                  <c:v>78.177240509666603</c:v>
                </c:pt>
              </c:numCache>
            </c:numRef>
          </c:val>
          <c:smooth val="0"/>
          <c:extLst>
            <c:ext xmlns:c16="http://schemas.microsoft.com/office/drawing/2014/chart" uri="{C3380CC4-5D6E-409C-BE32-E72D297353CC}">
              <c16:uniqueId val="{00000002-4E22-C943-9C7C-9E4BA716664A}"/>
            </c:ext>
          </c:extLst>
        </c:ser>
        <c:ser>
          <c:idx val="2"/>
          <c:order val="2"/>
          <c:tx>
            <c:strRef>
              <c:f>'CPN own x VBR '!$A$17</c:f>
              <c:strCache>
                <c:ptCount val="1"/>
                <c:pt idx="0">
                  <c:v>Non Profit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'CPN Cost x Own'!$B$6:$B$10</c:f>
              <c:numCache>
                <c:formatCode>General</c:formatCode>
                <c:ptCount val="5"/>
                <c:pt idx="0">
                  <c:v>2013</c:v>
                </c:pt>
                <c:pt idx="1">
                  <c:v>2014</c:v>
                </c:pt>
                <c:pt idx="2">
                  <c:v>2015</c:v>
                </c:pt>
                <c:pt idx="3">
                  <c:v>2016</c:v>
                </c:pt>
                <c:pt idx="4">
                  <c:v>2017</c:v>
                </c:pt>
              </c:numCache>
            </c:numRef>
          </c:cat>
          <c:val>
            <c:numRef>
              <c:f>'CPN own x VBR '!$C$17:$C$21</c:f>
              <c:numCache>
                <c:formatCode>0.0</c:formatCode>
                <c:ptCount val="5"/>
                <c:pt idx="0">
                  <c:v>75.870409394178296</c:v>
                </c:pt>
                <c:pt idx="1">
                  <c:v>76.727753232369693</c:v>
                </c:pt>
                <c:pt idx="2">
                  <c:v>77.415164569103695</c:v>
                </c:pt>
                <c:pt idx="3">
                  <c:v>78.045327900140094</c:v>
                </c:pt>
                <c:pt idx="4">
                  <c:v>78.3531182935576</c:v>
                </c:pt>
              </c:numCache>
            </c:numRef>
          </c:val>
          <c:smooth val="0"/>
          <c:extLst>
            <c:ext xmlns:c16="http://schemas.microsoft.com/office/drawing/2014/chart" uri="{C3380CC4-5D6E-409C-BE32-E72D297353CC}">
              <c16:uniqueId val="{00000003-4E22-C943-9C7C-9E4BA716664A}"/>
            </c:ext>
          </c:extLst>
        </c:ser>
        <c:dLbls>
          <c:dLblPos val="t"/>
          <c:showLegendKey val="0"/>
          <c:showVal val="1"/>
          <c:showCatName val="0"/>
          <c:showSerName val="0"/>
          <c:showPercent val="0"/>
          <c:showBubbleSize val="0"/>
        </c:dLbls>
        <c:marker val="1"/>
        <c:smooth val="0"/>
        <c:axId val="960611408"/>
        <c:axId val="894246960"/>
      </c:lineChart>
      <c:catAx>
        <c:axId val="9606114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94246960"/>
        <c:crosses val="autoZero"/>
        <c:auto val="1"/>
        <c:lblAlgn val="ctr"/>
        <c:lblOffset val="100"/>
        <c:noMultiLvlLbl val="0"/>
      </c:catAx>
      <c:valAx>
        <c:axId val="894246960"/>
        <c:scaling>
          <c:orientation val="minMax"/>
          <c:max val="80"/>
          <c:min val="72"/>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60611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F451B-6F97-4A4C-ACFA-447AA2C65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5554</Words>
  <Characters>31659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Arling, Gregory W</dc:creator>
  <cp:keywords/>
  <dc:description/>
  <cp:lastModifiedBy>Arling, Gregory W</cp:lastModifiedBy>
  <cp:revision>5</cp:revision>
  <cp:lastPrinted>2019-05-27T14:54:00Z</cp:lastPrinted>
  <dcterms:created xsi:type="dcterms:W3CDTF">2019-05-31T17:13:00Z</dcterms:created>
  <dcterms:modified xsi:type="dcterms:W3CDTF">2019-05-31T22:35:00Z</dcterms:modified>
</cp:coreProperties>
</file>