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D3CDC" w14:textId="77777777" w:rsidR="000A3920" w:rsidRPr="000A3920" w:rsidRDefault="000A3920" w:rsidP="000A3920">
      <w:pPr>
        <w:rPr>
          <w:color w:val="525252" w:themeColor="accent3" w:themeShade="80"/>
          <w:sz w:val="24"/>
          <w:szCs w:val="24"/>
          <w:lang w:val="en-GB"/>
        </w:rPr>
      </w:pPr>
      <w:r w:rsidRPr="000A3920">
        <w:rPr>
          <w:color w:val="525252" w:themeColor="accent3" w:themeShade="80"/>
          <w:sz w:val="24"/>
          <w:szCs w:val="24"/>
          <w:lang w:val="en-GB"/>
        </w:rPr>
        <w:t>Please note: This is a preliminary draft. Please do not cite or distribute.</w:t>
      </w:r>
    </w:p>
    <w:p w14:paraId="73B8977E" w14:textId="77777777" w:rsidR="000A3920" w:rsidRDefault="000A3920" w:rsidP="00393E33">
      <w:pPr>
        <w:spacing w:after="120" w:line="360" w:lineRule="auto"/>
        <w:jc w:val="both"/>
        <w:rPr>
          <w:color w:val="000000" w:themeColor="text1"/>
          <w:lang w:val="en-GB"/>
        </w:rPr>
      </w:pPr>
    </w:p>
    <w:p w14:paraId="7C630254" w14:textId="77777777" w:rsidR="000A3920" w:rsidRDefault="000A3920" w:rsidP="00393E33">
      <w:pPr>
        <w:spacing w:after="120" w:line="360" w:lineRule="auto"/>
        <w:jc w:val="both"/>
        <w:rPr>
          <w:color w:val="000000" w:themeColor="text1"/>
          <w:lang w:val="en-GB"/>
        </w:rPr>
      </w:pPr>
    </w:p>
    <w:p w14:paraId="4C408F19" w14:textId="0B98B4F6" w:rsidR="005D23FA" w:rsidRPr="005F6C5F" w:rsidRDefault="005D23FA" w:rsidP="00393E33">
      <w:pPr>
        <w:spacing w:after="120" w:line="360" w:lineRule="auto"/>
        <w:jc w:val="both"/>
        <w:rPr>
          <w:color w:val="000000" w:themeColor="text1"/>
          <w:lang w:val="en-GB"/>
        </w:rPr>
      </w:pPr>
      <w:r w:rsidRPr="005F6C5F">
        <w:rPr>
          <w:color w:val="000000" w:themeColor="text1"/>
          <w:lang w:val="en-GB"/>
        </w:rPr>
        <w:t xml:space="preserve">Francesca </w:t>
      </w:r>
      <w:proofErr w:type="spellStart"/>
      <w:r w:rsidRPr="005F6C5F">
        <w:rPr>
          <w:color w:val="000000" w:themeColor="text1"/>
          <w:lang w:val="en-GB"/>
        </w:rPr>
        <w:t>Pozzoli</w:t>
      </w:r>
      <w:proofErr w:type="spellEnd"/>
      <w:r w:rsidRPr="005F6C5F">
        <w:rPr>
          <w:color w:val="000000" w:themeColor="text1"/>
          <w:lang w:val="en-GB"/>
        </w:rPr>
        <w:t xml:space="preserve"> – PhD candidate in Sociology and Methodology of Social Research</w:t>
      </w:r>
      <w:r w:rsidR="0074065D" w:rsidRPr="005F6C5F">
        <w:rPr>
          <w:color w:val="000000" w:themeColor="text1"/>
          <w:lang w:val="en-GB"/>
        </w:rPr>
        <w:t xml:space="preserve"> – University of Milan</w:t>
      </w:r>
    </w:p>
    <w:p w14:paraId="43D28A21" w14:textId="7F09E8A7" w:rsidR="0074065D" w:rsidRPr="005F6C5F" w:rsidRDefault="0074065D" w:rsidP="00393E33">
      <w:pPr>
        <w:spacing w:after="120" w:line="360" w:lineRule="auto"/>
        <w:jc w:val="both"/>
        <w:rPr>
          <w:color w:val="000000" w:themeColor="text1"/>
          <w:lang w:val="en-GB"/>
        </w:rPr>
      </w:pPr>
    </w:p>
    <w:p w14:paraId="3A2F589D" w14:textId="77777777" w:rsidR="0074065D" w:rsidRPr="005F6C5F" w:rsidRDefault="0074065D" w:rsidP="00393E33">
      <w:pPr>
        <w:spacing w:after="120" w:line="360" w:lineRule="auto"/>
        <w:jc w:val="both"/>
        <w:rPr>
          <w:color w:val="000000" w:themeColor="text1"/>
          <w:lang w:val="en-GB"/>
        </w:rPr>
      </w:pPr>
    </w:p>
    <w:p w14:paraId="70663481" w14:textId="77777777" w:rsidR="0074065D" w:rsidRPr="005F6C5F" w:rsidRDefault="0074065D" w:rsidP="00393E33">
      <w:pPr>
        <w:spacing w:after="120" w:line="360" w:lineRule="auto"/>
        <w:jc w:val="center"/>
        <w:rPr>
          <w:rFonts w:ascii="Arial" w:hAnsi="Arial" w:cs="Arial"/>
          <w:b/>
          <w:color w:val="000000" w:themeColor="text1"/>
          <w:lang w:val="en-GB"/>
        </w:rPr>
      </w:pPr>
      <w:r w:rsidRPr="005F6C5F">
        <w:rPr>
          <w:rFonts w:ascii="Arial" w:hAnsi="Arial" w:cs="Arial"/>
          <w:b/>
          <w:color w:val="000000" w:themeColor="text1"/>
          <w:lang w:val="en-GB"/>
        </w:rPr>
        <w:t xml:space="preserve">The journey of </w:t>
      </w:r>
      <w:r w:rsidRPr="005F6C5F">
        <w:rPr>
          <w:rFonts w:ascii="Arial" w:hAnsi="Arial" w:cs="Arial"/>
          <w:b/>
          <w:i/>
          <w:color w:val="000000" w:themeColor="text1"/>
          <w:lang w:val="en-GB"/>
        </w:rPr>
        <w:t>choice agendas</w:t>
      </w:r>
      <w:r w:rsidRPr="005F6C5F">
        <w:rPr>
          <w:rFonts w:ascii="Arial" w:hAnsi="Arial" w:cs="Arial"/>
          <w:b/>
          <w:color w:val="000000" w:themeColor="text1"/>
          <w:lang w:val="en-GB"/>
        </w:rPr>
        <w:t xml:space="preserve"> in disability policy and practice. </w:t>
      </w:r>
    </w:p>
    <w:p w14:paraId="74621552" w14:textId="1F201C13" w:rsidR="0074065D" w:rsidRPr="005F6C5F" w:rsidRDefault="0074065D" w:rsidP="00393E33">
      <w:pPr>
        <w:spacing w:after="120" w:line="360" w:lineRule="auto"/>
        <w:jc w:val="center"/>
        <w:rPr>
          <w:rFonts w:ascii="Arial" w:hAnsi="Arial" w:cs="Arial"/>
          <w:b/>
          <w:color w:val="000000" w:themeColor="text1"/>
          <w:lang w:val="en-GB"/>
        </w:rPr>
      </w:pPr>
      <w:r w:rsidRPr="005F6C5F">
        <w:rPr>
          <w:rFonts w:ascii="Arial" w:hAnsi="Arial" w:cs="Arial"/>
          <w:b/>
          <w:color w:val="000000" w:themeColor="text1"/>
          <w:lang w:val="en-GB"/>
        </w:rPr>
        <w:t>How do the UK and Italy compare?</w:t>
      </w:r>
    </w:p>
    <w:p w14:paraId="2DE1B888" w14:textId="77777777" w:rsidR="0074065D" w:rsidRPr="005F6C5F" w:rsidRDefault="0074065D" w:rsidP="00393E33">
      <w:pPr>
        <w:spacing w:after="120" w:line="360" w:lineRule="auto"/>
        <w:jc w:val="center"/>
        <w:rPr>
          <w:rFonts w:ascii="Arial" w:hAnsi="Arial" w:cs="Arial"/>
          <w:b/>
          <w:color w:val="000000" w:themeColor="text1"/>
          <w:lang w:val="en-GB"/>
        </w:rPr>
      </w:pPr>
    </w:p>
    <w:p w14:paraId="1DFDC468" w14:textId="77777777" w:rsidR="005D23FA" w:rsidRPr="005F6C5F" w:rsidRDefault="005D23FA" w:rsidP="00393E33">
      <w:pPr>
        <w:spacing w:after="120" w:line="360" w:lineRule="auto"/>
        <w:jc w:val="both"/>
        <w:rPr>
          <w:b/>
          <w:color w:val="000000" w:themeColor="text1"/>
          <w:lang w:val="en-GB"/>
        </w:rPr>
      </w:pPr>
    </w:p>
    <w:p w14:paraId="2B6493AA" w14:textId="77777777" w:rsidR="005D23FA" w:rsidRPr="005F6C5F" w:rsidRDefault="005D23FA" w:rsidP="00393E33">
      <w:pPr>
        <w:spacing w:after="120" w:line="360" w:lineRule="auto"/>
        <w:jc w:val="both"/>
        <w:rPr>
          <w:color w:val="000000" w:themeColor="text1"/>
        </w:rPr>
      </w:pPr>
      <w:r w:rsidRPr="005F6C5F">
        <w:rPr>
          <w:b/>
          <w:color w:val="000000" w:themeColor="text1"/>
          <w:lang w:val="en-GB"/>
        </w:rPr>
        <w:t>Introduction</w:t>
      </w:r>
    </w:p>
    <w:p w14:paraId="4C8197FB" w14:textId="77777777" w:rsidR="005D23FA" w:rsidRPr="005F6C5F" w:rsidRDefault="005D23FA" w:rsidP="00393E33">
      <w:pPr>
        <w:spacing w:after="120" w:line="360" w:lineRule="auto"/>
        <w:jc w:val="both"/>
        <w:rPr>
          <w:color w:val="000000" w:themeColor="text1"/>
          <w:lang w:val="en-GB"/>
        </w:rPr>
      </w:pPr>
      <w:r w:rsidRPr="005F6C5F">
        <w:rPr>
          <w:color w:val="000000" w:themeColor="text1"/>
          <w:lang w:val="en-GB"/>
        </w:rPr>
        <w:t xml:space="preserve">Choice is a concept that during the past thirty years has entered the agendas of many welfare states, has influenced their public services reforms and has gained increased weight in the debate around best possible ways of delivering public services. From the rights of parents to choose their children’s school to that of patients to choose both hospitals and treatments to that of non-self-sufficient individuals to choose their support care services and staff. </w:t>
      </w:r>
    </w:p>
    <w:p w14:paraId="22B04D01" w14:textId="21502B78" w:rsidR="005D23FA" w:rsidRPr="005F6C5F" w:rsidRDefault="005D23FA" w:rsidP="00393E33">
      <w:pPr>
        <w:spacing w:after="120" w:line="360" w:lineRule="auto"/>
        <w:jc w:val="both"/>
        <w:rPr>
          <w:color w:val="000000" w:themeColor="text1"/>
          <w:lang w:val="en-GB"/>
        </w:rPr>
      </w:pPr>
      <w:r w:rsidRPr="005F6C5F">
        <w:rPr>
          <w:color w:val="000000" w:themeColor="text1"/>
          <w:lang w:val="en-GB"/>
        </w:rPr>
        <w:t>A straightforward concept at a first glance, choice emerges as a powerful and often contested political notion when we consider its application in the context of public services. First of all, its popularity is the outcome of the interests and actions of different actors in the policy field and, as such, is a much more multifaceted phenomenon than its simple and apparent positive nature may suggest. Secondly, choice has not entered public policy on its own. Specific demand-side financing tools are associated to its implementation in</w:t>
      </w:r>
      <w:r w:rsidR="00157675" w:rsidRPr="005F6C5F">
        <w:rPr>
          <w:color w:val="000000" w:themeColor="text1"/>
          <w:lang w:val="en-GB"/>
        </w:rPr>
        <w:t xml:space="preserve"> different areas of</w:t>
      </w:r>
      <w:r w:rsidRPr="005F6C5F">
        <w:rPr>
          <w:color w:val="000000" w:themeColor="text1"/>
          <w:lang w:val="en-GB"/>
        </w:rPr>
        <w:t xml:space="preserve"> public services and these tools are neither neutral not purely technical. On the contrary, they have the power to influence the conceptual frameworks of the specific policy field in which they are introduced and also the direction of the daily practices of the different actors active in the field. </w:t>
      </w:r>
    </w:p>
    <w:p w14:paraId="6086EA84" w14:textId="4D89B18E" w:rsidR="005D23FA" w:rsidRPr="005F6C5F" w:rsidRDefault="005D23FA" w:rsidP="00393E33">
      <w:pPr>
        <w:spacing w:after="120" w:line="360" w:lineRule="auto"/>
        <w:jc w:val="both"/>
        <w:rPr>
          <w:rFonts w:cstheme="minorHAnsi"/>
          <w:color w:val="000000" w:themeColor="text1"/>
          <w:lang w:val="en-GB"/>
        </w:rPr>
      </w:pPr>
      <w:r w:rsidRPr="005F6C5F">
        <w:rPr>
          <w:color w:val="000000" w:themeColor="text1"/>
          <w:lang w:val="en-GB"/>
        </w:rPr>
        <w:t>The promotion</w:t>
      </w:r>
      <w:r w:rsidR="00157675" w:rsidRPr="005F6C5F">
        <w:rPr>
          <w:color w:val="000000" w:themeColor="text1"/>
          <w:lang w:val="en-GB"/>
        </w:rPr>
        <w:t xml:space="preserve"> and implementation</w:t>
      </w:r>
      <w:r w:rsidRPr="005F6C5F">
        <w:rPr>
          <w:color w:val="000000" w:themeColor="text1"/>
          <w:lang w:val="en-GB"/>
        </w:rPr>
        <w:t xml:space="preserve"> of choice for users of welfare services through the use of demand-side financing tools is what I will refer to – in the rest of this paper - as </w:t>
      </w:r>
      <w:r w:rsidRPr="005F6C5F">
        <w:rPr>
          <w:i/>
          <w:color w:val="000000" w:themeColor="text1"/>
          <w:lang w:val="en-GB"/>
        </w:rPr>
        <w:t>choice agendas</w:t>
      </w:r>
      <w:r w:rsidRPr="005F6C5F">
        <w:rPr>
          <w:color w:val="000000" w:themeColor="text1"/>
          <w:lang w:val="en-GB"/>
        </w:rPr>
        <w:t xml:space="preserve"> and I will argue that the analysis of their journey </w:t>
      </w:r>
      <w:r w:rsidRPr="005F6C5F">
        <w:rPr>
          <w:rFonts w:cstheme="minorHAnsi"/>
          <w:color w:val="000000" w:themeColor="text1"/>
          <w:lang w:val="en-GB"/>
        </w:rPr>
        <w:t xml:space="preserve">from policy into practice through the lenses of their actors will offer an innovative way to interpret their effects. </w:t>
      </w:r>
    </w:p>
    <w:p w14:paraId="32DFAAE9" w14:textId="4C1CCCFA" w:rsidR="005D23FA" w:rsidRPr="005F6C5F" w:rsidRDefault="005D23FA" w:rsidP="00393E33">
      <w:pPr>
        <w:spacing w:after="120" w:line="360" w:lineRule="auto"/>
        <w:jc w:val="both"/>
        <w:rPr>
          <w:rFonts w:cstheme="minorHAnsi"/>
          <w:color w:val="000000" w:themeColor="text1"/>
          <w:lang w:val="en-GB"/>
        </w:rPr>
      </w:pPr>
      <w:r w:rsidRPr="005F6C5F">
        <w:rPr>
          <w:rFonts w:cstheme="minorHAnsi"/>
          <w:color w:val="000000" w:themeColor="text1"/>
          <w:lang w:val="en-GB"/>
        </w:rPr>
        <w:t xml:space="preserve">The paper focuses on the introduction and development of choice agendas in the context of care services for disabled people in England and in the Italian region of Lombardy and aims at offering – in regards to both contexts: 1) a reconstruction of the main debates associated with choice agendas, including their </w:t>
      </w:r>
      <w:r w:rsidRPr="005F6C5F">
        <w:rPr>
          <w:rFonts w:cstheme="minorHAnsi"/>
          <w:color w:val="000000" w:themeColor="text1"/>
          <w:lang w:val="en-GB"/>
        </w:rPr>
        <w:lastRenderedPageBreak/>
        <w:t>development over the last two decades; 2) a detailed description of the specific policies and tools which have supported such agendas; 3) a</w:t>
      </w:r>
      <w:r w:rsidR="005F6C5F" w:rsidRPr="005F6C5F">
        <w:rPr>
          <w:rFonts w:cstheme="minorHAnsi"/>
          <w:color w:val="000000" w:themeColor="text1"/>
          <w:lang w:val="en-GB"/>
        </w:rPr>
        <w:t xml:space="preserve">n initial </w:t>
      </w:r>
      <w:r w:rsidRPr="005F6C5F">
        <w:rPr>
          <w:rFonts w:cstheme="minorHAnsi"/>
          <w:color w:val="000000" w:themeColor="text1"/>
          <w:lang w:val="en-GB"/>
        </w:rPr>
        <w:t xml:space="preserve">discussion about their effects on the lives of disabled people. </w:t>
      </w:r>
    </w:p>
    <w:p w14:paraId="49AC8822" w14:textId="77777777" w:rsidR="005D23FA" w:rsidRPr="005F6C5F" w:rsidRDefault="005D23FA" w:rsidP="00393E33">
      <w:pPr>
        <w:spacing w:after="120" w:line="360" w:lineRule="auto"/>
        <w:jc w:val="both"/>
        <w:rPr>
          <w:rFonts w:ascii="Calibri" w:hAnsi="Calibri" w:cs="Arimo"/>
          <w:color w:val="000000" w:themeColor="text1"/>
          <w:lang w:val="en-GB"/>
        </w:rPr>
      </w:pPr>
      <w:r w:rsidRPr="005F6C5F">
        <w:rPr>
          <w:rFonts w:cstheme="minorHAnsi"/>
          <w:color w:val="000000" w:themeColor="text1"/>
          <w:lang w:val="en-GB"/>
        </w:rPr>
        <w:t>Disability policy and services offer a paradigmatic field to study choice</w:t>
      </w:r>
      <w:r w:rsidRPr="005F6C5F">
        <w:rPr>
          <w:rFonts w:ascii="Calibri" w:hAnsi="Calibri" w:cs="Arimo"/>
          <w:color w:val="000000" w:themeColor="text1"/>
          <w:lang w:val="en-GB"/>
        </w:rPr>
        <w:t xml:space="preserve"> agendas both because of the historical presence of many and different actors – and interests - calling for public policy to embed the concept of choice and because of the multifaceted nature of disability itself calling for a multidisciplinary approach. Even if integration is far from being a reality, similar agendas regarding choice travel between social, health and education services and a focus on disability allows to bridge field specific boundaries and to analyse the spread of similar policy across services. </w:t>
      </w:r>
    </w:p>
    <w:p w14:paraId="7AEF51DF" w14:textId="77777777" w:rsidR="005D23FA" w:rsidRPr="005F6C5F" w:rsidRDefault="005D23FA" w:rsidP="00393E33">
      <w:pPr>
        <w:spacing w:after="120" w:line="360" w:lineRule="auto"/>
        <w:jc w:val="both"/>
        <w:rPr>
          <w:rFonts w:ascii="Calibri" w:hAnsi="Calibri" w:cs="Arimo"/>
          <w:color w:val="000000" w:themeColor="text1"/>
          <w:lang w:val="en-GB"/>
        </w:rPr>
      </w:pPr>
    </w:p>
    <w:p w14:paraId="4A24C9D4" w14:textId="77777777" w:rsidR="005D23FA" w:rsidRPr="005F6C5F" w:rsidRDefault="005D23FA" w:rsidP="00393E33">
      <w:pPr>
        <w:spacing w:after="120" w:line="360" w:lineRule="auto"/>
        <w:jc w:val="both"/>
        <w:rPr>
          <w:rFonts w:ascii="Calibri" w:hAnsi="Calibri" w:cs="Arimo"/>
          <w:b/>
          <w:color w:val="000000" w:themeColor="text1"/>
          <w:lang w:val="en-GB"/>
        </w:rPr>
      </w:pPr>
      <w:r w:rsidRPr="005F6C5F">
        <w:rPr>
          <w:rFonts w:ascii="Calibri" w:hAnsi="Calibri" w:cs="Arimo"/>
          <w:b/>
          <w:color w:val="000000" w:themeColor="text1"/>
          <w:lang w:val="en-GB"/>
        </w:rPr>
        <w:t xml:space="preserve">Main debates </w:t>
      </w:r>
    </w:p>
    <w:p w14:paraId="005FA090" w14:textId="20314F92" w:rsidR="005D23FA" w:rsidRPr="005F6C5F" w:rsidRDefault="005D23FA" w:rsidP="00393E33">
      <w:pPr>
        <w:spacing w:after="120" w:line="360" w:lineRule="auto"/>
        <w:jc w:val="both"/>
        <w:rPr>
          <w:rFonts w:ascii="Calibri" w:hAnsi="Calibri" w:cs="Arimo"/>
          <w:color w:val="000000" w:themeColor="text1"/>
          <w:lang w:val="en-GB"/>
        </w:rPr>
      </w:pPr>
      <w:r w:rsidRPr="005F6C5F">
        <w:rPr>
          <w:rFonts w:ascii="Calibri" w:hAnsi="Calibri" w:cs="Arimo"/>
          <w:color w:val="000000" w:themeColor="text1"/>
          <w:lang w:val="en-GB"/>
        </w:rPr>
        <w:t xml:space="preserve">The origins of choice agendas in the context of </w:t>
      </w:r>
      <w:r w:rsidR="00B16CD4" w:rsidRPr="005F6C5F">
        <w:rPr>
          <w:rFonts w:ascii="Calibri" w:hAnsi="Calibri" w:cs="Arimo"/>
          <w:color w:val="000000" w:themeColor="text1"/>
          <w:lang w:val="en-GB"/>
        </w:rPr>
        <w:t>care</w:t>
      </w:r>
      <w:r w:rsidRPr="005F6C5F">
        <w:rPr>
          <w:rFonts w:ascii="Calibri" w:hAnsi="Calibri" w:cs="Arimo"/>
          <w:color w:val="000000" w:themeColor="text1"/>
          <w:lang w:val="en-GB"/>
        </w:rPr>
        <w:t xml:space="preserve"> </w:t>
      </w:r>
      <w:r w:rsidR="00B16CD4" w:rsidRPr="005F6C5F">
        <w:rPr>
          <w:rFonts w:ascii="Calibri" w:hAnsi="Calibri" w:cs="Arimo"/>
          <w:color w:val="000000" w:themeColor="text1"/>
          <w:lang w:val="en-GB"/>
        </w:rPr>
        <w:t xml:space="preserve">policy and </w:t>
      </w:r>
      <w:r w:rsidRPr="005F6C5F">
        <w:rPr>
          <w:rFonts w:ascii="Calibri" w:hAnsi="Calibri" w:cs="Arimo"/>
          <w:color w:val="000000" w:themeColor="text1"/>
          <w:lang w:val="en-GB"/>
        </w:rPr>
        <w:t xml:space="preserve">services </w:t>
      </w:r>
      <w:r w:rsidR="00B16CD4" w:rsidRPr="005F6C5F">
        <w:rPr>
          <w:rFonts w:ascii="Calibri" w:hAnsi="Calibri" w:cs="Arimo"/>
          <w:color w:val="000000" w:themeColor="text1"/>
          <w:lang w:val="en-GB"/>
        </w:rPr>
        <w:t xml:space="preserve">in the disability field, </w:t>
      </w:r>
      <w:r w:rsidRPr="005F6C5F">
        <w:rPr>
          <w:rFonts w:ascii="Calibri" w:hAnsi="Calibri" w:cs="Arimo"/>
          <w:color w:val="000000" w:themeColor="text1"/>
          <w:lang w:val="en-GB"/>
        </w:rPr>
        <w:t>both in England and in the Italian region of Lombardy</w:t>
      </w:r>
      <w:r w:rsidR="00B16CD4" w:rsidRPr="005F6C5F">
        <w:rPr>
          <w:rFonts w:ascii="Calibri" w:hAnsi="Calibri" w:cs="Arimo"/>
          <w:color w:val="000000" w:themeColor="text1"/>
          <w:lang w:val="en-GB"/>
        </w:rPr>
        <w:t>,</w:t>
      </w:r>
      <w:r w:rsidRPr="005F6C5F">
        <w:rPr>
          <w:rFonts w:ascii="Calibri" w:hAnsi="Calibri" w:cs="Arimo"/>
          <w:color w:val="000000" w:themeColor="text1"/>
          <w:lang w:val="en-GB"/>
        </w:rPr>
        <w:t xml:space="preserve"> are to be found in the connubium between </w:t>
      </w:r>
      <w:r w:rsidR="00872D83" w:rsidRPr="005F6C5F">
        <w:rPr>
          <w:rFonts w:ascii="Calibri" w:hAnsi="Calibri" w:cs="Arimo"/>
          <w:color w:val="000000" w:themeColor="text1"/>
          <w:lang w:val="en-GB"/>
        </w:rPr>
        <w:t xml:space="preserve">disability activism and </w:t>
      </w:r>
      <w:r w:rsidRPr="005F6C5F">
        <w:rPr>
          <w:rFonts w:ascii="Calibri" w:hAnsi="Calibri" w:cs="Arimo"/>
          <w:color w:val="000000" w:themeColor="text1"/>
          <w:lang w:val="en-GB"/>
        </w:rPr>
        <w:t xml:space="preserve">market-oriented reforms of public services.  </w:t>
      </w:r>
      <w:r w:rsidR="00B16CD4" w:rsidRPr="005F6C5F">
        <w:rPr>
          <w:rFonts w:ascii="Calibri" w:hAnsi="Calibri" w:cs="Arimo"/>
          <w:color w:val="000000" w:themeColor="text1"/>
          <w:lang w:val="en-GB"/>
        </w:rPr>
        <w:t xml:space="preserve">I use here the word connubium in a descriptive </w:t>
      </w:r>
      <w:r w:rsidR="004F79CB" w:rsidRPr="005F6C5F">
        <w:rPr>
          <w:rFonts w:ascii="Calibri" w:hAnsi="Calibri" w:cs="Arimo"/>
          <w:color w:val="000000" w:themeColor="text1"/>
          <w:lang w:val="en-GB"/>
        </w:rPr>
        <w:t xml:space="preserve">and </w:t>
      </w:r>
      <w:r w:rsidR="00F6541B">
        <w:rPr>
          <w:rFonts w:ascii="Calibri" w:hAnsi="Calibri" w:cs="Arimo"/>
          <w:color w:val="000000" w:themeColor="text1"/>
          <w:lang w:val="en-GB"/>
        </w:rPr>
        <w:t>v</w:t>
      </w:r>
      <w:r w:rsidR="004F79CB" w:rsidRPr="005F6C5F">
        <w:rPr>
          <w:rFonts w:ascii="Calibri" w:hAnsi="Calibri" w:cs="Arimo"/>
          <w:color w:val="000000" w:themeColor="text1"/>
          <w:lang w:val="en-GB"/>
        </w:rPr>
        <w:t xml:space="preserve">alue-neutral </w:t>
      </w:r>
      <w:r w:rsidR="00B16CD4" w:rsidRPr="005F6C5F">
        <w:rPr>
          <w:rFonts w:ascii="Calibri" w:hAnsi="Calibri" w:cs="Arimo"/>
          <w:color w:val="000000" w:themeColor="text1"/>
          <w:lang w:val="en-GB"/>
        </w:rPr>
        <w:t xml:space="preserve">way, to highlight the union of </w:t>
      </w:r>
      <w:r w:rsidR="00F63CEC" w:rsidRPr="005F6C5F">
        <w:rPr>
          <w:rFonts w:ascii="Calibri" w:hAnsi="Calibri" w:cs="Arimo"/>
          <w:color w:val="000000" w:themeColor="text1"/>
          <w:lang w:val="en-GB"/>
        </w:rPr>
        <w:t xml:space="preserve">two </w:t>
      </w:r>
      <w:r w:rsidR="00B16CD4" w:rsidRPr="005F6C5F">
        <w:rPr>
          <w:rFonts w:ascii="Calibri" w:hAnsi="Calibri" w:cs="Arimo"/>
          <w:color w:val="000000" w:themeColor="text1"/>
          <w:lang w:val="en-GB"/>
        </w:rPr>
        <w:t>different logics of choice</w:t>
      </w:r>
      <w:r w:rsidR="00872D83" w:rsidRPr="005F6C5F">
        <w:rPr>
          <w:rFonts w:ascii="Calibri" w:hAnsi="Calibri" w:cs="Arimo"/>
          <w:color w:val="000000" w:themeColor="text1"/>
          <w:lang w:val="en-GB"/>
        </w:rPr>
        <w:t xml:space="preserve"> at a policy level. On the one hand, ‘positive freedom’ </w:t>
      </w:r>
      <w:r w:rsidR="00F63CEC" w:rsidRPr="005F6C5F">
        <w:rPr>
          <w:rFonts w:ascii="Calibri" w:hAnsi="Calibri" w:cs="Arimo"/>
          <w:color w:val="000000" w:themeColor="text1"/>
          <w:lang w:val="en-GB"/>
        </w:rPr>
        <w:t xml:space="preserve">(Lister 2010) </w:t>
      </w:r>
      <w:r w:rsidR="00872D83" w:rsidRPr="005F6C5F">
        <w:rPr>
          <w:rFonts w:ascii="Calibri" w:hAnsi="Calibri" w:cs="Arimo"/>
          <w:color w:val="000000" w:themeColor="text1"/>
          <w:lang w:val="en-GB"/>
        </w:rPr>
        <w:t>and ‘capabilities’ based theori</w:t>
      </w:r>
      <w:r w:rsidR="00F63CEC" w:rsidRPr="005F6C5F">
        <w:rPr>
          <w:rFonts w:ascii="Calibri" w:hAnsi="Calibri" w:cs="Arimo"/>
          <w:color w:val="000000" w:themeColor="text1"/>
          <w:lang w:val="en-GB"/>
        </w:rPr>
        <w:t>es (Sen 1985, 1999) are at the heart of a logic which consider</w:t>
      </w:r>
      <w:r w:rsidR="004F79CB" w:rsidRPr="005F6C5F">
        <w:rPr>
          <w:rFonts w:ascii="Calibri" w:hAnsi="Calibri" w:cs="Arimo"/>
          <w:color w:val="000000" w:themeColor="text1"/>
          <w:lang w:val="en-GB"/>
        </w:rPr>
        <w:t>s</w:t>
      </w:r>
      <w:r w:rsidR="00F63CEC" w:rsidRPr="005F6C5F">
        <w:rPr>
          <w:rFonts w:ascii="Calibri" w:hAnsi="Calibri" w:cs="Arimo"/>
          <w:color w:val="000000" w:themeColor="text1"/>
          <w:lang w:val="en-GB"/>
        </w:rPr>
        <w:t xml:space="preserve"> choice in terms of autonomous participation and freedom from discrimination (</w:t>
      </w:r>
      <w:proofErr w:type="spellStart"/>
      <w:r w:rsidR="00F63CEC" w:rsidRPr="005F6C5F">
        <w:rPr>
          <w:rFonts w:ascii="Calibri" w:hAnsi="Calibri" w:cs="Arimo"/>
          <w:color w:val="000000" w:themeColor="text1"/>
          <w:lang w:val="en-GB"/>
        </w:rPr>
        <w:t>Burchardt</w:t>
      </w:r>
      <w:proofErr w:type="spellEnd"/>
      <w:r w:rsidR="00F63CEC" w:rsidRPr="005F6C5F">
        <w:rPr>
          <w:rFonts w:ascii="Calibri" w:hAnsi="Calibri" w:cs="Arimo"/>
          <w:color w:val="000000" w:themeColor="text1"/>
          <w:lang w:val="en-GB"/>
        </w:rPr>
        <w:t xml:space="preserve">, Evans and Holler 2015). Free choice, in this sense, is about participation, recognition and autonomy. On the other hand, </w:t>
      </w:r>
      <w:r w:rsidR="00872D83" w:rsidRPr="005F6C5F">
        <w:rPr>
          <w:rFonts w:ascii="Calibri" w:hAnsi="Calibri" w:cs="Arimo"/>
          <w:color w:val="000000" w:themeColor="text1"/>
          <w:lang w:val="en-GB"/>
        </w:rPr>
        <w:t xml:space="preserve">rational-choice </w:t>
      </w:r>
      <w:r w:rsidR="00F63CEC" w:rsidRPr="005F6C5F">
        <w:rPr>
          <w:rFonts w:ascii="Calibri" w:hAnsi="Calibri" w:cs="Arimo"/>
          <w:color w:val="000000" w:themeColor="text1"/>
          <w:lang w:val="en-GB"/>
        </w:rPr>
        <w:t>theories</w:t>
      </w:r>
      <w:r w:rsidR="00872D83" w:rsidRPr="005F6C5F">
        <w:rPr>
          <w:rFonts w:ascii="Calibri" w:hAnsi="Calibri" w:cs="Arimo"/>
          <w:color w:val="000000" w:themeColor="text1"/>
          <w:lang w:val="en-GB"/>
        </w:rPr>
        <w:t xml:space="preserve"> applied in the context of public services (Le Grand 2005, 2007) </w:t>
      </w:r>
      <w:r w:rsidR="00D16E0E" w:rsidRPr="005F6C5F">
        <w:rPr>
          <w:rFonts w:ascii="Calibri" w:hAnsi="Calibri" w:cs="Arimo"/>
          <w:color w:val="000000" w:themeColor="text1"/>
          <w:lang w:val="en-GB"/>
        </w:rPr>
        <w:t xml:space="preserve">inform a different logic of choice, a more libertarian one based on the confidence in individuals’ ability to make choices in a market-like environment and in competition to guarantee and respond to individuals’ choice. </w:t>
      </w:r>
    </w:p>
    <w:p w14:paraId="3A9F910E" w14:textId="50AB5733" w:rsidR="00A70E85" w:rsidRPr="005F6C5F" w:rsidRDefault="00A70E85" w:rsidP="00393E33">
      <w:pPr>
        <w:spacing w:after="120" w:line="360" w:lineRule="auto"/>
        <w:jc w:val="both"/>
        <w:rPr>
          <w:rFonts w:ascii="Calibri" w:hAnsi="Calibri" w:cs="Arimo"/>
          <w:color w:val="000000" w:themeColor="text1"/>
          <w:lang w:val="en-GB"/>
        </w:rPr>
      </w:pPr>
      <w:r w:rsidRPr="005F6C5F">
        <w:rPr>
          <w:rFonts w:ascii="Calibri" w:hAnsi="Calibri" w:cs="Arimo"/>
          <w:color w:val="000000" w:themeColor="text1"/>
          <w:lang w:val="en-GB"/>
        </w:rPr>
        <w:t>The connubium of these two logics happened at some p</w:t>
      </w:r>
      <w:r w:rsidR="00047DF7" w:rsidRPr="005F6C5F">
        <w:rPr>
          <w:rFonts w:ascii="Calibri" w:hAnsi="Calibri" w:cs="Arimo"/>
          <w:color w:val="000000" w:themeColor="text1"/>
          <w:lang w:val="en-GB"/>
        </w:rPr>
        <w:t>o</w:t>
      </w:r>
      <w:r w:rsidRPr="005F6C5F">
        <w:rPr>
          <w:rFonts w:ascii="Calibri" w:hAnsi="Calibri" w:cs="Arimo"/>
          <w:color w:val="000000" w:themeColor="text1"/>
          <w:lang w:val="en-GB"/>
        </w:rPr>
        <w:t>int during the 90s. This is when the claims of social movements in the name of de-institutionalisation and independent living entered welfare governments’ policy</w:t>
      </w:r>
      <w:r w:rsidR="00AE4BD8" w:rsidRPr="005F6C5F">
        <w:rPr>
          <w:rFonts w:ascii="Calibri" w:hAnsi="Calibri" w:cs="Arimo"/>
          <w:color w:val="000000" w:themeColor="text1"/>
          <w:lang w:val="en-GB"/>
        </w:rPr>
        <w:t xml:space="preserve"> </w:t>
      </w:r>
      <w:r w:rsidRPr="005F6C5F">
        <w:rPr>
          <w:rFonts w:ascii="Calibri" w:hAnsi="Calibri" w:cs="Arimo"/>
          <w:color w:val="000000" w:themeColor="text1"/>
          <w:lang w:val="en-GB"/>
        </w:rPr>
        <w:t xml:space="preserve">and </w:t>
      </w:r>
      <w:r w:rsidR="00AE4BD8" w:rsidRPr="005F6C5F">
        <w:rPr>
          <w:rFonts w:ascii="Calibri" w:hAnsi="Calibri" w:cs="Arimo"/>
          <w:color w:val="000000" w:themeColor="text1"/>
          <w:lang w:val="en-GB"/>
        </w:rPr>
        <w:t xml:space="preserve">a </w:t>
      </w:r>
      <w:r w:rsidR="00AE4BD8" w:rsidRPr="005F6C5F">
        <w:rPr>
          <w:rFonts w:ascii="Calibri" w:hAnsi="Calibri" w:cs="Arimo"/>
          <w:i/>
          <w:color w:val="000000" w:themeColor="text1"/>
          <w:lang w:val="en-GB"/>
        </w:rPr>
        <w:t>discourse coalition</w:t>
      </w:r>
      <w:r w:rsidR="00AE4BD8" w:rsidRPr="005F6C5F">
        <w:rPr>
          <w:rFonts w:ascii="Calibri" w:hAnsi="Calibri" w:cs="Arimo"/>
          <w:color w:val="000000" w:themeColor="text1"/>
          <w:lang w:val="en-GB"/>
        </w:rPr>
        <w:t xml:space="preserve"> around choice developed. </w:t>
      </w:r>
      <w:r w:rsidR="008E39FC" w:rsidRPr="005F6C5F">
        <w:rPr>
          <w:rFonts w:ascii="Calibri" w:hAnsi="Calibri" w:cs="Arimo"/>
          <w:color w:val="000000" w:themeColor="text1"/>
          <w:lang w:val="en-GB"/>
        </w:rPr>
        <w:t xml:space="preserve">The term </w:t>
      </w:r>
      <w:r w:rsidR="008E39FC" w:rsidRPr="005F6C5F">
        <w:rPr>
          <w:rFonts w:ascii="Calibri" w:hAnsi="Calibri" w:cs="Arimo"/>
          <w:i/>
          <w:color w:val="000000" w:themeColor="text1"/>
          <w:lang w:val="en-GB"/>
        </w:rPr>
        <w:t>discourse coalition</w:t>
      </w:r>
      <w:r w:rsidR="008E39FC" w:rsidRPr="005F6C5F">
        <w:rPr>
          <w:rFonts w:ascii="Calibri" w:hAnsi="Calibri" w:cs="Arimo"/>
          <w:color w:val="000000" w:themeColor="text1"/>
          <w:lang w:val="en-GB"/>
        </w:rPr>
        <w:t xml:space="preserve"> -</w:t>
      </w:r>
      <w:r w:rsidRPr="005F6C5F">
        <w:rPr>
          <w:rFonts w:ascii="Calibri" w:hAnsi="Calibri" w:cs="Arimo"/>
          <w:color w:val="000000" w:themeColor="text1"/>
          <w:lang w:val="en-GB"/>
        </w:rPr>
        <w:t xml:space="preserve"> </w:t>
      </w:r>
      <w:r w:rsidR="008E39FC" w:rsidRPr="005F6C5F">
        <w:rPr>
          <w:rFonts w:ascii="Calibri" w:hAnsi="Calibri" w:cs="Arimo"/>
          <w:color w:val="000000" w:themeColor="text1"/>
          <w:lang w:val="en-GB"/>
        </w:rPr>
        <w:t xml:space="preserve">coined by </w:t>
      </w:r>
      <w:proofErr w:type="spellStart"/>
      <w:r w:rsidR="008E39FC" w:rsidRPr="005F6C5F">
        <w:rPr>
          <w:rFonts w:ascii="Calibri" w:hAnsi="Calibri" w:cs="Arimo"/>
          <w:color w:val="000000" w:themeColor="text1"/>
          <w:lang w:val="en-GB"/>
        </w:rPr>
        <w:t>Marteen</w:t>
      </w:r>
      <w:proofErr w:type="spellEnd"/>
      <w:r w:rsidR="008E39FC" w:rsidRPr="005F6C5F">
        <w:rPr>
          <w:rFonts w:ascii="Calibri" w:hAnsi="Calibri" w:cs="Arimo"/>
          <w:color w:val="000000" w:themeColor="text1"/>
          <w:lang w:val="en-GB"/>
        </w:rPr>
        <w:t xml:space="preserve"> </w:t>
      </w:r>
      <w:proofErr w:type="spellStart"/>
      <w:r w:rsidR="008E39FC" w:rsidRPr="005F6C5F">
        <w:rPr>
          <w:rFonts w:ascii="Calibri" w:hAnsi="Calibri" w:cs="Arimo"/>
          <w:color w:val="000000" w:themeColor="text1"/>
          <w:lang w:val="en-GB"/>
        </w:rPr>
        <w:t>Allar</w:t>
      </w:r>
      <w:proofErr w:type="spellEnd"/>
      <w:r w:rsidR="008E39FC" w:rsidRPr="005F6C5F">
        <w:rPr>
          <w:rFonts w:ascii="Calibri" w:hAnsi="Calibri" w:cs="Arimo"/>
          <w:color w:val="000000" w:themeColor="text1"/>
          <w:lang w:val="en-GB"/>
        </w:rPr>
        <w:t xml:space="preserve"> </w:t>
      </w:r>
      <w:proofErr w:type="spellStart"/>
      <w:r w:rsidR="008E39FC" w:rsidRPr="005F6C5F">
        <w:rPr>
          <w:rFonts w:ascii="Calibri" w:hAnsi="Calibri" w:cs="Arimo"/>
          <w:color w:val="000000" w:themeColor="text1"/>
          <w:lang w:val="en-GB"/>
        </w:rPr>
        <w:t>Hajer</w:t>
      </w:r>
      <w:proofErr w:type="spellEnd"/>
      <w:r w:rsidR="008E39FC" w:rsidRPr="005F6C5F">
        <w:rPr>
          <w:rFonts w:ascii="Calibri" w:hAnsi="Calibri" w:cs="Arimo"/>
          <w:color w:val="000000" w:themeColor="text1"/>
          <w:lang w:val="en-GB"/>
        </w:rPr>
        <w:t xml:space="preserve"> (1995) in his work on the politics of environmental discourse – refers to how a common understanding – or a dominant perception – of a particular issue can be produced and mediated by a policy discourse. </w:t>
      </w:r>
      <w:proofErr w:type="spellStart"/>
      <w:r w:rsidR="008E39FC" w:rsidRPr="005F6C5F">
        <w:rPr>
          <w:rFonts w:ascii="Calibri" w:hAnsi="Calibri" w:cs="Arimo"/>
          <w:color w:val="000000" w:themeColor="text1"/>
          <w:lang w:val="en-GB"/>
        </w:rPr>
        <w:t>Hajer</w:t>
      </w:r>
      <w:proofErr w:type="spellEnd"/>
      <w:r w:rsidR="008E39FC" w:rsidRPr="005F6C5F">
        <w:rPr>
          <w:rFonts w:ascii="Calibri" w:hAnsi="Calibri" w:cs="Arimo"/>
          <w:color w:val="000000" w:themeColor="text1"/>
          <w:lang w:val="en-GB"/>
        </w:rPr>
        <w:t xml:space="preserve"> talks about </w:t>
      </w:r>
      <w:r w:rsidR="008E39FC" w:rsidRPr="005F6C5F">
        <w:rPr>
          <w:rFonts w:ascii="Calibri" w:hAnsi="Calibri" w:cs="Arimo"/>
          <w:i/>
          <w:color w:val="000000" w:themeColor="text1"/>
          <w:lang w:val="en-GB"/>
        </w:rPr>
        <w:t>discourse coalitions</w:t>
      </w:r>
      <w:r w:rsidR="008E39FC" w:rsidRPr="005F6C5F">
        <w:rPr>
          <w:rFonts w:ascii="Calibri" w:hAnsi="Calibri" w:cs="Arimo"/>
          <w:color w:val="000000" w:themeColor="text1"/>
          <w:lang w:val="en-GB"/>
        </w:rPr>
        <w:t xml:space="preserve"> to refer to the ensemble of actors sustaining a particular discourse about a specific policy problem and highlights how the different actors of a discourse coalition don’t need to have a common strategy or share the same meanings while engaging in a specific policy issue but, on the contrary, they can have different interpretations and different interests while at the same time grouping around what he call</w:t>
      </w:r>
      <w:r w:rsidR="00AF39D0" w:rsidRPr="005F6C5F">
        <w:rPr>
          <w:rFonts w:ascii="Calibri" w:hAnsi="Calibri" w:cs="Arimo"/>
          <w:color w:val="000000" w:themeColor="text1"/>
          <w:lang w:val="en-GB"/>
        </w:rPr>
        <w:t>s</w:t>
      </w:r>
      <w:r w:rsidR="008E39FC" w:rsidRPr="005F6C5F">
        <w:rPr>
          <w:rFonts w:ascii="Calibri" w:hAnsi="Calibri" w:cs="Arimo"/>
          <w:color w:val="000000" w:themeColor="text1"/>
          <w:lang w:val="en-GB"/>
        </w:rPr>
        <w:t xml:space="preserve"> specific </w:t>
      </w:r>
      <w:r w:rsidR="008E39FC" w:rsidRPr="005F6C5F">
        <w:rPr>
          <w:rFonts w:ascii="Calibri" w:hAnsi="Calibri" w:cs="Arimo"/>
          <w:i/>
          <w:color w:val="000000" w:themeColor="text1"/>
          <w:lang w:val="en-GB"/>
        </w:rPr>
        <w:t>storylines</w:t>
      </w:r>
      <w:r w:rsidR="008E39FC" w:rsidRPr="005F6C5F">
        <w:rPr>
          <w:rFonts w:ascii="Calibri" w:hAnsi="Calibri" w:cs="Arimo"/>
          <w:color w:val="000000" w:themeColor="text1"/>
          <w:lang w:val="en-GB"/>
        </w:rPr>
        <w:t xml:space="preserve">. I will argue that the concept of </w:t>
      </w:r>
      <w:r w:rsidR="008E39FC" w:rsidRPr="005F6C5F">
        <w:rPr>
          <w:rFonts w:ascii="Calibri" w:hAnsi="Calibri" w:cs="Arimo"/>
          <w:i/>
          <w:color w:val="000000" w:themeColor="text1"/>
          <w:lang w:val="en-GB"/>
        </w:rPr>
        <w:t>discourse coalition</w:t>
      </w:r>
      <w:r w:rsidR="008E39FC" w:rsidRPr="005F6C5F">
        <w:rPr>
          <w:rFonts w:ascii="Calibri" w:hAnsi="Calibri" w:cs="Arimo"/>
          <w:color w:val="000000" w:themeColor="text1"/>
          <w:lang w:val="en-GB"/>
        </w:rPr>
        <w:t xml:space="preserve"> well applies to the case of choice agendas in the disability filed. </w:t>
      </w:r>
      <w:r w:rsidR="00214F8E" w:rsidRPr="005F6C5F">
        <w:rPr>
          <w:rFonts w:ascii="Calibri" w:hAnsi="Calibri" w:cs="Arimo"/>
          <w:color w:val="000000" w:themeColor="text1"/>
          <w:lang w:val="en-GB"/>
        </w:rPr>
        <w:t xml:space="preserve">Different interests and different interpretations regarding choice have been at stake for different actors, nevertheless, they all sustained the same discourse coalition. </w:t>
      </w:r>
      <w:r w:rsidR="00D94418" w:rsidRPr="005F6C5F">
        <w:rPr>
          <w:rFonts w:ascii="Calibri" w:hAnsi="Calibri" w:cs="Arimo"/>
          <w:color w:val="000000" w:themeColor="text1"/>
          <w:lang w:val="en-GB"/>
        </w:rPr>
        <w:t xml:space="preserve">Not only, governments have reworked the claims of disability activists within their own agendas in </w:t>
      </w:r>
      <w:r w:rsidR="00D94418" w:rsidRPr="005F6C5F">
        <w:rPr>
          <w:rFonts w:ascii="Calibri" w:hAnsi="Calibri" w:cs="Arimo"/>
          <w:color w:val="000000" w:themeColor="text1"/>
          <w:lang w:val="en-GB"/>
        </w:rPr>
        <w:lastRenderedPageBreak/>
        <w:t xml:space="preserve">the same ways as disabled people movements have made used of governments’ policy to achieve their claims. </w:t>
      </w:r>
    </w:p>
    <w:p w14:paraId="7E7759FA" w14:textId="5A6F895C" w:rsidR="00F84084" w:rsidRPr="005F6C5F" w:rsidRDefault="00F84084" w:rsidP="00393E33">
      <w:pPr>
        <w:spacing w:after="120" w:line="360" w:lineRule="auto"/>
        <w:jc w:val="both"/>
        <w:rPr>
          <w:rFonts w:ascii="Calibri" w:hAnsi="Calibri" w:cs="Arimo"/>
          <w:color w:val="000000" w:themeColor="text1"/>
          <w:lang w:val="en-GB"/>
        </w:rPr>
      </w:pPr>
      <w:r w:rsidRPr="005F6C5F">
        <w:rPr>
          <w:rFonts w:ascii="Calibri" w:hAnsi="Calibri" w:cs="Arimo"/>
          <w:color w:val="000000" w:themeColor="text1"/>
          <w:lang w:val="en-GB"/>
        </w:rPr>
        <w:t xml:space="preserve">The British case is exemplar. </w:t>
      </w:r>
      <w:r w:rsidR="005D23FA" w:rsidRPr="005F6C5F">
        <w:rPr>
          <w:rFonts w:ascii="Calibri" w:hAnsi="Calibri" w:cs="Arimo"/>
          <w:color w:val="000000" w:themeColor="text1"/>
          <w:lang w:val="en-GB"/>
        </w:rPr>
        <w:t xml:space="preserve">On the one hand, the ‘right to choose’ has been revendicated by disability activists in their fights against institutionalisation and in their campaigns calling for a social model of disability (Oliver, 1996) to replace the medical model which until the 1970s was dominant in the field of disability. The independent living movement and the social model of disability </w:t>
      </w:r>
      <w:r w:rsidRPr="005F6C5F">
        <w:rPr>
          <w:rFonts w:ascii="Calibri" w:hAnsi="Calibri" w:cs="Arimo"/>
          <w:color w:val="000000" w:themeColor="text1"/>
          <w:lang w:val="en-GB"/>
        </w:rPr>
        <w:t>were</w:t>
      </w:r>
      <w:r w:rsidR="005D23FA" w:rsidRPr="005F6C5F">
        <w:rPr>
          <w:rFonts w:ascii="Calibri" w:hAnsi="Calibri" w:cs="Arimo"/>
          <w:color w:val="000000" w:themeColor="text1"/>
          <w:lang w:val="en-GB"/>
        </w:rPr>
        <w:t xml:space="preserve"> based</w:t>
      </w:r>
      <w:r w:rsidR="00B16CD4" w:rsidRPr="005F6C5F">
        <w:rPr>
          <w:rFonts w:ascii="Calibri" w:hAnsi="Calibri" w:cs="Arimo"/>
          <w:color w:val="000000" w:themeColor="text1"/>
          <w:lang w:val="en-GB"/>
        </w:rPr>
        <w:t xml:space="preserve">, respectively, </w:t>
      </w:r>
      <w:r w:rsidR="005D23FA" w:rsidRPr="005F6C5F">
        <w:rPr>
          <w:rFonts w:ascii="Calibri" w:hAnsi="Calibri" w:cs="Arimo"/>
          <w:color w:val="000000" w:themeColor="text1"/>
          <w:lang w:val="en-GB"/>
        </w:rPr>
        <w:t>on the principles that disabled people should have the same rights of choice and control over their lives as non-disabled people and that it is society that disables people by excluding and isolating them</w:t>
      </w:r>
      <w:bookmarkStart w:id="0" w:name="_GoBack"/>
      <w:bookmarkEnd w:id="0"/>
      <w:r w:rsidR="005D23FA" w:rsidRPr="005F6C5F">
        <w:rPr>
          <w:rFonts w:ascii="Calibri" w:hAnsi="Calibri" w:cs="Arimo"/>
          <w:color w:val="000000" w:themeColor="text1"/>
          <w:lang w:val="en-GB"/>
        </w:rPr>
        <w:t xml:space="preserve">. The call for choice of disability activists was then a call for an anti-discriminatory approach recognising the right of every individual to participate in society and to be in control of their lives, starting from choosing where to live, who to live with and how to receive support if needed. </w:t>
      </w:r>
    </w:p>
    <w:p w14:paraId="1C47B5DC" w14:textId="6FF65B0E" w:rsidR="00D95FC5" w:rsidRPr="005F6C5F" w:rsidRDefault="00F84084" w:rsidP="00393E33">
      <w:pPr>
        <w:spacing w:after="120" w:line="360" w:lineRule="auto"/>
        <w:jc w:val="both"/>
        <w:rPr>
          <w:rFonts w:ascii="Calibri" w:hAnsi="Calibri" w:cs="Arimo"/>
          <w:color w:val="000000" w:themeColor="text1"/>
          <w:lang w:val="en-GB"/>
        </w:rPr>
      </w:pPr>
      <w:r w:rsidRPr="005F6C5F">
        <w:rPr>
          <w:rFonts w:ascii="Calibri" w:hAnsi="Calibri" w:cs="Arimo"/>
          <w:color w:val="000000" w:themeColor="text1"/>
          <w:lang w:val="en-GB"/>
        </w:rPr>
        <w:t xml:space="preserve">One of the items which disability rights campaigners lobbied for was that of </w:t>
      </w:r>
      <w:r w:rsidR="004D565D" w:rsidRPr="005F6C5F">
        <w:rPr>
          <w:rFonts w:ascii="Calibri" w:hAnsi="Calibri" w:cs="Arimo"/>
          <w:color w:val="000000" w:themeColor="text1"/>
          <w:lang w:val="en-GB"/>
        </w:rPr>
        <w:t xml:space="preserve">the direct payments. </w:t>
      </w:r>
      <w:r w:rsidR="005D23FA" w:rsidRPr="005F6C5F">
        <w:rPr>
          <w:rFonts w:ascii="Calibri" w:hAnsi="Calibri" w:cs="Arimo"/>
          <w:color w:val="000000" w:themeColor="text1"/>
          <w:lang w:val="en-GB"/>
        </w:rPr>
        <w:t xml:space="preserve">The ‘technology’ of direct payments (Duffy 2010) in lieu of social care services was </w:t>
      </w:r>
      <w:r w:rsidR="004D565D" w:rsidRPr="005F6C5F">
        <w:rPr>
          <w:rFonts w:ascii="Calibri" w:hAnsi="Calibri" w:cs="Arimo"/>
          <w:color w:val="000000" w:themeColor="text1"/>
          <w:lang w:val="en-GB"/>
        </w:rPr>
        <w:t xml:space="preserve">indeed </w:t>
      </w:r>
      <w:r w:rsidR="005D23FA" w:rsidRPr="005F6C5F">
        <w:rPr>
          <w:rFonts w:ascii="Calibri" w:hAnsi="Calibri" w:cs="Arimo"/>
          <w:color w:val="000000" w:themeColor="text1"/>
          <w:lang w:val="en-GB"/>
        </w:rPr>
        <w:t xml:space="preserve">seen as </w:t>
      </w:r>
      <w:r w:rsidRPr="005F6C5F">
        <w:rPr>
          <w:rFonts w:ascii="Calibri" w:hAnsi="Calibri" w:cs="Arimo"/>
          <w:color w:val="000000" w:themeColor="text1"/>
          <w:lang w:val="en-GB"/>
        </w:rPr>
        <w:t>a</w:t>
      </w:r>
      <w:r w:rsidR="005D23FA" w:rsidRPr="005F6C5F">
        <w:rPr>
          <w:rFonts w:ascii="Calibri" w:hAnsi="Calibri" w:cs="Arimo"/>
          <w:color w:val="000000" w:themeColor="text1"/>
          <w:lang w:val="en-GB"/>
        </w:rPr>
        <w:t xml:space="preserve"> key tool to allow for choice and control to be achieved in practice. In this sense, the independent living movement and the social model of disability nurtured the development of choice agendas</w:t>
      </w:r>
      <w:r w:rsidR="004D565D" w:rsidRPr="005F6C5F">
        <w:rPr>
          <w:rFonts w:ascii="Calibri" w:hAnsi="Calibri" w:cs="Arimo"/>
          <w:color w:val="000000" w:themeColor="text1"/>
          <w:lang w:val="en-GB"/>
        </w:rPr>
        <w:t xml:space="preserve">. </w:t>
      </w:r>
    </w:p>
    <w:p w14:paraId="6F9F5FEB" w14:textId="0C365AD8" w:rsidR="005D23FA" w:rsidRPr="005F6C5F" w:rsidRDefault="004D565D" w:rsidP="00393E33">
      <w:pPr>
        <w:spacing w:after="120" w:line="360" w:lineRule="auto"/>
        <w:jc w:val="both"/>
        <w:rPr>
          <w:rFonts w:ascii="Calibri" w:hAnsi="Calibri" w:cs="Arimo"/>
          <w:color w:val="000000" w:themeColor="text1"/>
          <w:lang w:val="en-GB"/>
        </w:rPr>
      </w:pPr>
      <w:r w:rsidRPr="005F6C5F">
        <w:rPr>
          <w:rFonts w:ascii="Calibri" w:hAnsi="Calibri" w:cs="Arimo"/>
          <w:color w:val="000000" w:themeColor="text1"/>
          <w:lang w:val="en-GB"/>
        </w:rPr>
        <w:t xml:space="preserve">Direct payments, however, as a demand-side financing tool, well fitted with the social policy agenda of the then governments. We need to make a step back to understand how. </w:t>
      </w:r>
    </w:p>
    <w:p w14:paraId="3F67656C" w14:textId="0E8B2C07" w:rsidR="004D565D" w:rsidRPr="005F6C5F" w:rsidRDefault="005D23FA" w:rsidP="00393E33">
      <w:pPr>
        <w:spacing w:after="120" w:line="360" w:lineRule="auto"/>
        <w:jc w:val="both"/>
        <w:rPr>
          <w:rFonts w:ascii="Calibri" w:hAnsi="Calibri" w:cs="Arimo"/>
          <w:color w:val="000000" w:themeColor="text1"/>
          <w:lang w:val="en-GB"/>
        </w:rPr>
      </w:pPr>
      <w:r w:rsidRPr="005F6C5F">
        <w:rPr>
          <w:rFonts w:ascii="Calibri" w:hAnsi="Calibri" w:cs="Arimo"/>
          <w:color w:val="000000" w:themeColor="text1"/>
          <w:lang w:val="en-GB"/>
        </w:rPr>
        <w:t>Choice began</w:t>
      </w:r>
      <w:r w:rsidR="004D565D" w:rsidRPr="005F6C5F">
        <w:rPr>
          <w:rFonts w:ascii="Calibri" w:hAnsi="Calibri" w:cs="Arimo"/>
          <w:color w:val="000000" w:themeColor="text1"/>
          <w:lang w:val="en-GB"/>
        </w:rPr>
        <w:t xml:space="preserve"> </w:t>
      </w:r>
      <w:r w:rsidRPr="005F6C5F">
        <w:rPr>
          <w:rFonts w:ascii="Calibri" w:hAnsi="Calibri" w:cs="Arimo"/>
          <w:color w:val="000000" w:themeColor="text1"/>
          <w:lang w:val="en-GB"/>
        </w:rPr>
        <w:t>to be seen as an important tool by politicians, economists and policy-makers in the context of the so called ‘mixed economies of welfare’ (</w:t>
      </w:r>
      <w:proofErr w:type="spellStart"/>
      <w:r w:rsidRPr="005F6C5F">
        <w:rPr>
          <w:rFonts w:ascii="Calibri" w:hAnsi="Calibri" w:cs="Arimo"/>
          <w:color w:val="000000" w:themeColor="text1"/>
          <w:lang w:val="en-GB"/>
        </w:rPr>
        <w:t>Alcock</w:t>
      </w:r>
      <w:proofErr w:type="spellEnd"/>
      <w:r w:rsidRPr="005F6C5F">
        <w:rPr>
          <w:rFonts w:ascii="Calibri" w:hAnsi="Calibri" w:cs="Arimo"/>
          <w:color w:val="000000" w:themeColor="text1"/>
          <w:lang w:val="en-GB"/>
        </w:rPr>
        <w:t xml:space="preserve"> 2012) and in line with the New Public Management (NPM) reforms of the 1980s. Under welfare pluralism and NPM principles, welfare states </w:t>
      </w:r>
      <w:proofErr w:type="gramStart"/>
      <w:r w:rsidRPr="005F6C5F">
        <w:rPr>
          <w:rFonts w:ascii="Calibri" w:hAnsi="Calibri" w:cs="Arimo"/>
          <w:color w:val="000000" w:themeColor="text1"/>
          <w:lang w:val="en-GB"/>
        </w:rPr>
        <w:t>have  been</w:t>
      </w:r>
      <w:proofErr w:type="gramEnd"/>
      <w:r w:rsidRPr="005F6C5F">
        <w:rPr>
          <w:rFonts w:ascii="Calibri" w:hAnsi="Calibri" w:cs="Arimo"/>
          <w:color w:val="000000" w:themeColor="text1"/>
          <w:lang w:val="en-GB"/>
        </w:rPr>
        <w:t xml:space="preserve"> reformed, retrenched and reshaped (Clarke 2012: 266) and ‘choice’ used as a means to reform what was widely accepted as the passive, bureaucratic and inefficient nature of welfare states and welfare services.</w:t>
      </w:r>
      <w:r w:rsidR="00D95FC5" w:rsidRPr="005F6C5F">
        <w:rPr>
          <w:rFonts w:ascii="Calibri" w:hAnsi="Calibri" w:cs="Arimo"/>
          <w:color w:val="000000" w:themeColor="text1"/>
          <w:lang w:val="en-GB"/>
        </w:rPr>
        <w:t xml:space="preserve"> </w:t>
      </w:r>
      <w:r w:rsidRPr="005F6C5F">
        <w:rPr>
          <w:rFonts w:ascii="Calibri" w:hAnsi="Calibri" w:cs="Arimo"/>
          <w:color w:val="000000" w:themeColor="text1"/>
          <w:lang w:val="en-GB"/>
        </w:rPr>
        <w:t xml:space="preserve">With the aim of improving the quality and efficiency of public services, NPM policies reduced the role of the state in welfare provision and introduced new accountability and market-like mechanisms in public services such as the split between purchaser and provider. The state became an enabler rather than a provider of services and users became consumers. The confidence on individuals’ ability to make choices as rational agents and on competition in a free market - of both for-profit and non-for-profit organisations - to respond to such choices have been the original pillars of this new policy turn. </w:t>
      </w:r>
      <w:r w:rsidR="001740B1" w:rsidRPr="005F6C5F">
        <w:rPr>
          <w:rFonts w:ascii="Calibri" w:hAnsi="Calibri" w:cs="Arimo"/>
          <w:color w:val="000000" w:themeColor="text1"/>
          <w:lang w:val="en-GB"/>
        </w:rPr>
        <w:t>When evidence of both markets and behavioural failures (</w:t>
      </w:r>
      <w:proofErr w:type="spellStart"/>
      <w:r w:rsidR="001740B1" w:rsidRPr="005F6C5F">
        <w:rPr>
          <w:rFonts w:ascii="Calibri" w:hAnsi="Calibri" w:cs="Arimo"/>
          <w:color w:val="000000" w:themeColor="text1"/>
          <w:lang w:val="en-GB"/>
        </w:rPr>
        <w:t>Glennerster</w:t>
      </w:r>
      <w:proofErr w:type="spellEnd"/>
      <w:r w:rsidR="001740B1" w:rsidRPr="005F6C5F">
        <w:rPr>
          <w:rFonts w:ascii="Calibri" w:hAnsi="Calibri" w:cs="Arimo"/>
          <w:color w:val="000000" w:themeColor="text1"/>
          <w:lang w:val="en-GB"/>
        </w:rPr>
        <w:t xml:space="preserve"> 2009, 2013) emerged, this user-consumer policy model got adjusted. </w:t>
      </w:r>
      <w:r w:rsidRPr="005F6C5F">
        <w:rPr>
          <w:rFonts w:ascii="Calibri" w:hAnsi="Calibri" w:cs="Arimo"/>
          <w:color w:val="000000" w:themeColor="text1"/>
          <w:lang w:val="en-GB"/>
        </w:rPr>
        <w:t xml:space="preserve">A condition </w:t>
      </w:r>
      <w:r w:rsidR="001740B1" w:rsidRPr="005F6C5F">
        <w:rPr>
          <w:rFonts w:ascii="Calibri" w:hAnsi="Calibri" w:cs="Arimo"/>
          <w:color w:val="000000" w:themeColor="text1"/>
          <w:lang w:val="en-GB"/>
        </w:rPr>
        <w:t>got</w:t>
      </w:r>
      <w:r w:rsidRPr="005F6C5F">
        <w:rPr>
          <w:rFonts w:ascii="Calibri" w:hAnsi="Calibri" w:cs="Arimo"/>
          <w:color w:val="000000" w:themeColor="text1"/>
          <w:lang w:val="en-GB"/>
        </w:rPr>
        <w:t xml:space="preserve"> introduced for the choice and competition model to work, that of quasi-market, that is, a public sector market structure where the users-consumers are financed by state resources, choice can be supported and providers can operate in a competitive </w:t>
      </w:r>
      <w:r w:rsidR="001740B1" w:rsidRPr="005F6C5F">
        <w:rPr>
          <w:rFonts w:ascii="Calibri" w:hAnsi="Calibri" w:cs="Arimo"/>
          <w:color w:val="000000" w:themeColor="text1"/>
          <w:lang w:val="en-GB"/>
        </w:rPr>
        <w:t xml:space="preserve">but regulated </w:t>
      </w:r>
      <w:r w:rsidRPr="005F6C5F">
        <w:rPr>
          <w:rFonts w:ascii="Calibri" w:hAnsi="Calibri" w:cs="Arimo"/>
          <w:color w:val="000000" w:themeColor="text1"/>
          <w:lang w:val="en-GB"/>
        </w:rPr>
        <w:t xml:space="preserve">market (Le Grand 2005; 2007).  </w:t>
      </w:r>
      <w:r w:rsidR="00D95FC5" w:rsidRPr="005F6C5F">
        <w:rPr>
          <w:rFonts w:ascii="Calibri" w:hAnsi="Calibri" w:cs="Arimo"/>
          <w:color w:val="000000" w:themeColor="text1"/>
          <w:lang w:val="en-GB"/>
        </w:rPr>
        <w:t xml:space="preserve">Demand-side financing tools are at the heart of this model. </w:t>
      </w:r>
      <w:r w:rsidR="0060780F" w:rsidRPr="005F6C5F">
        <w:rPr>
          <w:rFonts w:ascii="Calibri" w:hAnsi="Calibri" w:cs="Arimo"/>
          <w:color w:val="000000" w:themeColor="text1"/>
          <w:lang w:val="en-GB"/>
        </w:rPr>
        <w:t>And this is why – as mentioned above - d</w:t>
      </w:r>
      <w:r w:rsidR="004D565D" w:rsidRPr="005F6C5F">
        <w:rPr>
          <w:rFonts w:ascii="Calibri" w:hAnsi="Calibri" w:cs="Arimo"/>
          <w:color w:val="000000" w:themeColor="text1"/>
          <w:lang w:val="en-GB"/>
        </w:rPr>
        <w:t xml:space="preserve">irect payments </w:t>
      </w:r>
      <w:r w:rsidR="00D95FC5" w:rsidRPr="005F6C5F">
        <w:rPr>
          <w:rFonts w:ascii="Calibri" w:hAnsi="Calibri" w:cs="Arimo"/>
          <w:color w:val="000000" w:themeColor="text1"/>
          <w:lang w:val="en-GB"/>
        </w:rPr>
        <w:t>perfectly fit</w:t>
      </w:r>
      <w:r w:rsidR="0060780F" w:rsidRPr="005F6C5F">
        <w:rPr>
          <w:rFonts w:ascii="Calibri" w:hAnsi="Calibri" w:cs="Arimo"/>
          <w:color w:val="000000" w:themeColor="text1"/>
          <w:lang w:val="en-GB"/>
        </w:rPr>
        <w:t>ted</w:t>
      </w:r>
      <w:r w:rsidR="00D95FC5" w:rsidRPr="005F6C5F">
        <w:rPr>
          <w:rFonts w:ascii="Calibri" w:hAnsi="Calibri" w:cs="Arimo"/>
          <w:color w:val="000000" w:themeColor="text1"/>
          <w:lang w:val="en-GB"/>
        </w:rPr>
        <w:t xml:space="preserve"> with </w:t>
      </w:r>
      <w:r w:rsidR="0060780F" w:rsidRPr="005F6C5F">
        <w:rPr>
          <w:rFonts w:ascii="Calibri" w:hAnsi="Calibri" w:cs="Arimo"/>
          <w:color w:val="000000" w:themeColor="text1"/>
          <w:lang w:val="en-GB"/>
        </w:rPr>
        <w:t xml:space="preserve">the </w:t>
      </w:r>
      <w:r w:rsidR="0060780F" w:rsidRPr="005F6C5F">
        <w:rPr>
          <w:rFonts w:ascii="Calibri" w:hAnsi="Calibri" w:cs="Arimo"/>
          <w:color w:val="000000" w:themeColor="text1"/>
          <w:lang w:val="en-GB"/>
        </w:rPr>
        <w:lastRenderedPageBreak/>
        <w:t xml:space="preserve">choice agendas of governments. </w:t>
      </w:r>
      <w:r w:rsidR="001740B1" w:rsidRPr="005F6C5F">
        <w:rPr>
          <w:rFonts w:ascii="Calibri" w:hAnsi="Calibri" w:cs="Arimo"/>
          <w:color w:val="000000" w:themeColor="text1"/>
          <w:lang w:val="en-GB"/>
        </w:rPr>
        <w:t xml:space="preserve">A more recent development of demand side financing in the UK is represented by personal budgets. </w:t>
      </w:r>
    </w:p>
    <w:p w14:paraId="2BF5D97E" w14:textId="1CCB9EF9" w:rsidR="009055D3" w:rsidRPr="005F6C5F" w:rsidRDefault="005D23FA" w:rsidP="00393E33">
      <w:pPr>
        <w:spacing w:after="120" w:line="360" w:lineRule="auto"/>
        <w:jc w:val="both"/>
        <w:rPr>
          <w:rFonts w:ascii="Calibri" w:hAnsi="Calibri" w:cs="Arimo"/>
          <w:color w:val="000000" w:themeColor="text1"/>
          <w:lang w:val="en-GB"/>
        </w:rPr>
      </w:pPr>
      <w:r w:rsidRPr="005F6C5F">
        <w:rPr>
          <w:rFonts w:ascii="Calibri" w:hAnsi="Calibri" w:cs="Arimo"/>
          <w:color w:val="000000" w:themeColor="text1"/>
          <w:lang w:val="en-GB"/>
        </w:rPr>
        <w:t xml:space="preserve">The </w:t>
      </w:r>
      <w:r w:rsidR="009055D3" w:rsidRPr="005F6C5F">
        <w:rPr>
          <w:rFonts w:ascii="Calibri" w:hAnsi="Calibri" w:cs="Arimo"/>
          <w:color w:val="000000" w:themeColor="text1"/>
          <w:lang w:val="en-GB"/>
        </w:rPr>
        <w:t xml:space="preserve">conjunction, </w:t>
      </w:r>
      <w:r w:rsidR="001740B1" w:rsidRPr="005F6C5F">
        <w:rPr>
          <w:rFonts w:ascii="Calibri" w:hAnsi="Calibri" w:cs="Arimo"/>
          <w:color w:val="000000" w:themeColor="text1"/>
          <w:lang w:val="en-GB"/>
        </w:rPr>
        <w:t>in the context of care services for disabled people,</w:t>
      </w:r>
      <w:r w:rsidRPr="005F6C5F">
        <w:rPr>
          <w:rFonts w:ascii="Calibri" w:hAnsi="Calibri" w:cs="Arimo"/>
          <w:color w:val="000000" w:themeColor="text1"/>
          <w:lang w:val="en-GB"/>
        </w:rPr>
        <w:t xml:space="preserve"> of user-consumer models and quasi-markets structures </w:t>
      </w:r>
      <w:r w:rsidR="009055D3" w:rsidRPr="005F6C5F">
        <w:rPr>
          <w:rFonts w:ascii="Calibri" w:hAnsi="Calibri" w:cs="Arimo"/>
          <w:color w:val="000000" w:themeColor="text1"/>
          <w:lang w:val="en-GB"/>
        </w:rPr>
        <w:t>with</w:t>
      </w:r>
      <w:r w:rsidR="001740B1" w:rsidRPr="005F6C5F">
        <w:rPr>
          <w:rFonts w:ascii="Calibri" w:hAnsi="Calibri" w:cs="Arimo"/>
          <w:color w:val="000000" w:themeColor="text1"/>
          <w:lang w:val="en-GB"/>
        </w:rPr>
        <w:t xml:space="preserve"> </w:t>
      </w:r>
      <w:r w:rsidR="009055D3" w:rsidRPr="005F6C5F">
        <w:rPr>
          <w:rFonts w:ascii="Calibri" w:hAnsi="Calibri" w:cs="Arimo"/>
          <w:color w:val="000000" w:themeColor="text1"/>
          <w:lang w:val="en-GB"/>
        </w:rPr>
        <w:t xml:space="preserve">the revindication of disability rights campaigns have characterised also the Lombardian experiences. Choice agendas, however, have </w:t>
      </w:r>
      <w:r w:rsidR="00047DF7" w:rsidRPr="005F6C5F">
        <w:rPr>
          <w:rFonts w:ascii="Calibri" w:hAnsi="Calibri" w:cs="Arimo"/>
          <w:color w:val="000000" w:themeColor="text1"/>
          <w:lang w:val="en-GB"/>
        </w:rPr>
        <w:t>in</w:t>
      </w:r>
      <w:r w:rsidR="009055D3" w:rsidRPr="005F6C5F">
        <w:rPr>
          <w:rFonts w:ascii="Calibri" w:hAnsi="Calibri" w:cs="Arimo"/>
          <w:color w:val="000000" w:themeColor="text1"/>
          <w:lang w:val="en-GB"/>
        </w:rPr>
        <w:t xml:space="preserve"> this case been implemented through the use of different demand-side financing tools: </w:t>
      </w:r>
      <w:r w:rsidRPr="005F6C5F">
        <w:rPr>
          <w:rFonts w:ascii="Calibri" w:hAnsi="Calibri" w:cs="Arimo"/>
          <w:color w:val="000000" w:themeColor="text1"/>
          <w:lang w:val="en-GB"/>
        </w:rPr>
        <w:t xml:space="preserve">vouchers and economic transfers. </w:t>
      </w:r>
    </w:p>
    <w:p w14:paraId="1D97CFC5" w14:textId="07F0791A" w:rsidR="005D23FA" w:rsidRPr="005F6C5F" w:rsidRDefault="009055D3" w:rsidP="00393E33">
      <w:pPr>
        <w:spacing w:after="120" w:line="360" w:lineRule="auto"/>
        <w:jc w:val="both"/>
        <w:rPr>
          <w:rFonts w:ascii="Calibri" w:hAnsi="Calibri" w:cs="Arimo"/>
          <w:color w:val="000000" w:themeColor="text1"/>
          <w:lang w:val="en-GB"/>
        </w:rPr>
      </w:pPr>
      <w:r w:rsidRPr="005F6C5F">
        <w:rPr>
          <w:rFonts w:ascii="Calibri" w:hAnsi="Calibri" w:cs="Arimo"/>
          <w:color w:val="000000" w:themeColor="text1"/>
          <w:lang w:val="en-GB"/>
        </w:rPr>
        <w:t>An overview of what I defined as the union</w:t>
      </w:r>
      <w:r w:rsidR="00AF39D0" w:rsidRPr="005F6C5F">
        <w:rPr>
          <w:rFonts w:ascii="Calibri" w:hAnsi="Calibri" w:cs="Arimo"/>
          <w:color w:val="000000" w:themeColor="text1"/>
          <w:lang w:val="en-GB"/>
        </w:rPr>
        <w:t xml:space="preserve">, at a policy level, </w:t>
      </w:r>
      <w:r w:rsidRPr="005F6C5F">
        <w:rPr>
          <w:rFonts w:ascii="Calibri" w:hAnsi="Calibri" w:cs="Arimo"/>
          <w:color w:val="000000" w:themeColor="text1"/>
          <w:lang w:val="en-GB"/>
        </w:rPr>
        <w:t>of different logics of choice</w:t>
      </w:r>
      <w:r w:rsidR="00AF39D0" w:rsidRPr="005F6C5F">
        <w:rPr>
          <w:rFonts w:ascii="Calibri" w:hAnsi="Calibri" w:cs="Arimo"/>
          <w:color w:val="000000" w:themeColor="text1"/>
          <w:lang w:val="en-GB"/>
        </w:rPr>
        <w:t xml:space="preserve"> </w:t>
      </w:r>
      <w:r w:rsidR="005D23FA" w:rsidRPr="005F6C5F">
        <w:rPr>
          <w:rFonts w:ascii="Calibri" w:hAnsi="Calibri" w:cs="Arimo"/>
          <w:color w:val="000000" w:themeColor="text1"/>
          <w:lang w:val="en-GB"/>
        </w:rPr>
        <w:t xml:space="preserve">will be </w:t>
      </w:r>
      <w:r w:rsidRPr="005F6C5F">
        <w:rPr>
          <w:rFonts w:ascii="Calibri" w:hAnsi="Calibri" w:cs="Arimo"/>
          <w:color w:val="000000" w:themeColor="text1"/>
          <w:lang w:val="en-GB"/>
        </w:rPr>
        <w:t xml:space="preserve">provided </w:t>
      </w:r>
      <w:r w:rsidR="005D23FA" w:rsidRPr="005F6C5F">
        <w:rPr>
          <w:rFonts w:ascii="Calibri" w:hAnsi="Calibri" w:cs="Arimo"/>
          <w:color w:val="000000" w:themeColor="text1"/>
          <w:lang w:val="en-GB"/>
        </w:rPr>
        <w:t xml:space="preserve">in the next section.  </w:t>
      </w:r>
    </w:p>
    <w:p w14:paraId="2F628B9A" w14:textId="77777777" w:rsidR="005F6C5F" w:rsidRPr="005F6C5F" w:rsidRDefault="005F6C5F" w:rsidP="00393E33">
      <w:pPr>
        <w:spacing w:after="120" w:line="360" w:lineRule="auto"/>
        <w:jc w:val="both"/>
        <w:rPr>
          <w:rFonts w:ascii="Calibri" w:hAnsi="Calibri" w:cs="Arimo"/>
          <w:color w:val="000000" w:themeColor="text1"/>
          <w:lang w:val="en-GB"/>
        </w:rPr>
      </w:pPr>
    </w:p>
    <w:p w14:paraId="7E69D8F8" w14:textId="6C2F4916" w:rsidR="005D23FA" w:rsidRPr="005F6C5F" w:rsidRDefault="005D23FA" w:rsidP="00393E33">
      <w:pPr>
        <w:spacing w:after="120" w:line="360" w:lineRule="auto"/>
        <w:jc w:val="both"/>
        <w:rPr>
          <w:b/>
          <w:color w:val="000000" w:themeColor="text1"/>
          <w:lang w:val="en-GB"/>
        </w:rPr>
      </w:pPr>
      <w:bookmarkStart w:id="1" w:name="_Hlk512783635"/>
      <w:r w:rsidRPr="005F6C5F">
        <w:rPr>
          <w:b/>
          <w:color w:val="000000" w:themeColor="text1"/>
          <w:lang w:val="en-GB"/>
        </w:rPr>
        <w:t>Policies and tools</w:t>
      </w:r>
    </w:p>
    <w:p w14:paraId="3DB58AFE" w14:textId="77777777" w:rsidR="005D23FA" w:rsidRPr="005F6C5F" w:rsidRDefault="005D23FA" w:rsidP="00393E33">
      <w:pPr>
        <w:spacing w:after="120" w:line="360" w:lineRule="auto"/>
        <w:ind w:firstLine="708"/>
        <w:jc w:val="both"/>
        <w:rPr>
          <w:rFonts w:ascii="Calibri" w:hAnsi="Calibri" w:cs="Arimo"/>
          <w:color w:val="000000" w:themeColor="text1"/>
          <w:u w:val="single"/>
          <w:lang w:val="en-GB"/>
        </w:rPr>
      </w:pPr>
      <w:r w:rsidRPr="005F6C5F">
        <w:rPr>
          <w:rFonts w:ascii="Calibri" w:hAnsi="Calibri" w:cs="Arimo"/>
          <w:color w:val="000000" w:themeColor="text1"/>
          <w:u w:val="single"/>
          <w:lang w:val="en-GB"/>
        </w:rPr>
        <w:t>England</w:t>
      </w:r>
    </w:p>
    <w:bookmarkEnd w:id="1"/>
    <w:p w14:paraId="78A21780" w14:textId="77777777" w:rsidR="005D23FA" w:rsidRPr="005F6C5F" w:rsidRDefault="005D23FA" w:rsidP="00393E33">
      <w:pPr>
        <w:spacing w:after="120" w:line="360" w:lineRule="auto"/>
        <w:jc w:val="both"/>
        <w:rPr>
          <w:rFonts w:ascii="Calibri" w:hAnsi="Calibri" w:cs="Arimo"/>
          <w:color w:val="000000" w:themeColor="text1"/>
          <w:lang w:val="en-GB"/>
        </w:rPr>
      </w:pPr>
      <w:r w:rsidRPr="005F6C5F">
        <w:rPr>
          <w:rFonts w:ascii="Calibri" w:hAnsi="Calibri" w:cs="Arimo"/>
          <w:color w:val="000000" w:themeColor="text1"/>
          <w:lang w:val="en-GB"/>
        </w:rPr>
        <w:t xml:space="preserve">In regards to England, the origins and developments of choice agendas can be analyses through the lenses of personalisation policies. Choice is indeed one of the key </w:t>
      </w:r>
      <w:proofErr w:type="gramStart"/>
      <w:r w:rsidRPr="005F6C5F">
        <w:rPr>
          <w:rFonts w:ascii="Calibri" w:hAnsi="Calibri" w:cs="Arimo"/>
          <w:color w:val="000000" w:themeColor="text1"/>
          <w:lang w:val="en-GB"/>
        </w:rPr>
        <w:t>principle</w:t>
      </w:r>
      <w:proofErr w:type="gramEnd"/>
      <w:r w:rsidRPr="005F6C5F">
        <w:rPr>
          <w:rFonts w:ascii="Calibri" w:hAnsi="Calibri" w:cs="Arimo"/>
          <w:color w:val="000000" w:themeColor="text1"/>
          <w:lang w:val="en-GB"/>
        </w:rPr>
        <w:t xml:space="preserve"> – if not the main – of personalisation, a policy agenda which in the past thirty years has radically transformed social care services in the UK and which is starting to have the same impact in health and - to a lesser degree – also in education services. </w:t>
      </w:r>
    </w:p>
    <w:p w14:paraId="7D6C728C" w14:textId="25CEE67D" w:rsidR="005D23FA" w:rsidRPr="005F6C5F" w:rsidRDefault="005D23FA" w:rsidP="00393E33">
      <w:pPr>
        <w:spacing w:after="120" w:line="360" w:lineRule="auto"/>
        <w:jc w:val="both"/>
        <w:rPr>
          <w:color w:val="000000" w:themeColor="text1"/>
          <w:lang w:val="en-GB"/>
        </w:rPr>
      </w:pPr>
      <w:r w:rsidRPr="005F6C5F">
        <w:rPr>
          <w:rFonts w:ascii="Calibri" w:hAnsi="Calibri" w:cs="Arimo"/>
          <w:color w:val="000000" w:themeColor="text1"/>
          <w:lang w:val="en-GB"/>
        </w:rPr>
        <w:t xml:space="preserve">The entry of choice into the scene of British policy dates back 1996 when cash-for-care have first been introduced by the then Conservative Government with the Community Care (Direct Payments) Act. However, it is with the White Papers </w:t>
      </w:r>
      <w:r w:rsidRPr="005F6C5F">
        <w:rPr>
          <w:rFonts w:ascii="Calibri" w:hAnsi="Calibri" w:cs="Arimo"/>
          <w:i/>
          <w:color w:val="000000" w:themeColor="text1"/>
          <w:lang w:val="en-GB"/>
        </w:rPr>
        <w:t>Valuing People</w:t>
      </w:r>
      <w:r w:rsidRPr="005F6C5F">
        <w:rPr>
          <w:rFonts w:ascii="Calibri" w:hAnsi="Calibri" w:cs="Arimo"/>
          <w:color w:val="000000" w:themeColor="text1"/>
          <w:lang w:val="en-GB"/>
        </w:rPr>
        <w:t xml:space="preserve"> (DH, 2001) and </w:t>
      </w:r>
      <w:r w:rsidRPr="005F6C5F">
        <w:rPr>
          <w:rFonts w:ascii="Calibri" w:hAnsi="Calibri" w:cs="Arimo"/>
          <w:i/>
          <w:color w:val="000000" w:themeColor="text1"/>
          <w:lang w:val="en-GB"/>
        </w:rPr>
        <w:t>Putting People First</w:t>
      </w:r>
      <w:r w:rsidRPr="005F6C5F">
        <w:rPr>
          <w:rFonts w:ascii="Calibri" w:hAnsi="Calibri" w:cs="Arimo"/>
          <w:color w:val="000000" w:themeColor="text1"/>
          <w:lang w:val="en-GB"/>
        </w:rPr>
        <w:t xml:space="preserve"> (HM Government, 2007) that </w:t>
      </w:r>
      <w:r w:rsidR="00DD4F3C" w:rsidRPr="005F6C5F">
        <w:rPr>
          <w:rFonts w:ascii="Calibri" w:hAnsi="Calibri" w:cs="Arimo"/>
          <w:color w:val="000000" w:themeColor="text1"/>
          <w:lang w:val="en-GB"/>
        </w:rPr>
        <w:t xml:space="preserve">– under the New Labour administration - </w:t>
      </w:r>
      <w:r w:rsidRPr="005F6C5F">
        <w:rPr>
          <w:rFonts w:ascii="Calibri" w:hAnsi="Calibri" w:cs="Arimo"/>
          <w:color w:val="000000" w:themeColor="text1"/>
          <w:lang w:val="en-GB"/>
        </w:rPr>
        <w:t xml:space="preserve">a vision for a personalised social care system centred around individuals and their right to have choice and control over their life has been rolled out across social care services in the UK. More recently, the vision of personalisation has continued to underpin both the Coalition and Conservative government strategy, culminating in its incorporation into the </w:t>
      </w:r>
      <w:r w:rsidRPr="005F6C5F">
        <w:rPr>
          <w:rFonts w:ascii="Calibri" w:hAnsi="Calibri" w:cs="Arimo"/>
          <w:i/>
          <w:color w:val="000000" w:themeColor="text1"/>
          <w:lang w:val="en-GB"/>
        </w:rPr>
        <w:t>Care Act 2014</w:t>
      </w:r>
      <w:r w:rsidRPr="005F6C5F">
        <w:rPr>
          <w:rFonts w:ascii="Calibri" w:hAnsi="Calibri" w:cs="Arimo"/>
          <w:color w:val="000000" w:themeColor="text1"/>
          <w:lang w:val="en-GB"/>
        </w:rPr>
        <w:t xml:space="preserve"> (DH, 2014), one of the most significant reforms of care services in the UK as it brings together, for the first time, different Acts and care laws into a single framework for care and support. Beyond social care, i</w:t>
      </w:r>
      <w:r w:rsidRPr="005F6C5F">
        <w:rPr>
          <w:color w:val="000000" w:themeColor="text1"/>
          <w:lang w:val="en-GB"/>
        </w:rPr>
        <w:t xml:space="preserve">ncreasing choice and control for people with disabilities through personalised care is a commitment which also the National Health Service (NHS) and the Department for Education (DfE) in the UK have embraced. The </w:t>
      </w:r>
      <w:r w:rsidRPr="005F6C5F">
        <w:rPr>
          <w:i/>
          <w:color w:val="000000" w:themeColor="text1"/>
          <w:lang w:val="en-GB"/>
        </w:rPr>
        <w:t>Health and Social Care Act</w:t>
      </w:r>
      <w:r w:rsidRPr="005F6C5F">
        <w:rPr>
          <w:color w:val="000000" w:themeColor="text1"/>
          <w:lang w:val="en-GB"/>
        </w:rPr>
        <w:t xml:space="preserve"> </w:t>
      </w:r>
      <w:r w:rsidRPr="005F6C5F">
        <w:rPr>
          <w:i/>
          <w:color w:val="000000" w:themeColor="text1"/>
          <w:lang w:val="en-GB"/>
        </w:rPr>
        <w:t>2012</w:t>
      </w:r>
      <w:r w:rsidRPr="005F6C5F">
        <w:rPr>
          <w:color w:val="000000" w:themeColor="text1"/>
          <w:lang w:val="en-GB"/>
        </w:rPr>
        <w:t xml:space="preserve"> (DH, 2012) and the </w:t>
      </w:r>
      <w:r w:rsidRPr="005F6C5F">
        <w:rPr>
          <w:i/>
          <w:color w:val="000000" w:themeColor="text1"/>
          <w:lang w:val="en-GB"/>
        </w:rPr>
        <w:t>Children and Family Act 2014</w:t>
      </w:r>
      <w:r w:rsidRPr="005F6C5F">
        <w:rPr>
          <w:color w:val="000000" w:themeColor="text1"/>
          <w:lang w:val="en-GB"/>
        </w:rPr>
        <w:t xml:space="preserve"> (DfE, 2014) representing the alignment of, respectively, health and education departments to the personalisation agenda. </w:t>
      </w:r>
    </w:p>
    <w:p w14:paraId="4473582D" w14:textId="0D6D0009" w:rsidR="005D23FA" w:rsidRPr="005F6C5F" w:rsidRDefault="005D23FA" w:rsidP="00393E33">
      <w:pPr>
        <w:spacing w:after="120" w:line="360" w:lineRule="auto"/>
        <w:jc w:val="both"/>
        <w:rPr>
          <w:color w:val="000000" w:themeColor="text1"/>
          <w:lang w:val="en-GB"/>
        </w:rPr>
      </w:pPr>
      <w:r w:rsidRPr="005F6C5F">
        <w:rPr>
          <w:color w:val="000000" w:themeColor="text1"/>
          <w:lang w:val="en-GB"/>
        </w:rPr>
        <w:t xml:space="preserve">One feature that all the </w:t>
      </w:r>
      <w:r w:rsidR="003834F9" w:rsidRPr="005F6C5F">
        <w:rPr>
          <w:color w:val="000000" w:themeColor="text1"/>
          <w:lang w:val="en-GB"/>
        </w:rPr>
        <w:t>above-mentioned</w:t>
      </w:r>
      <w:r w:rsidRPr="005F6C5F">
        <w:rPr>
          <w:color w:val="000000" w:themeColor="text1"/>
          <w:lang w:val="en-GB"/>
        </w:rPr>
        <w:t xml:space="preserve"> pieces of legislation have in common regards the specific toolkit that government policies envisaged in order to translate choice agendas in practice. This is made of person-centred-planning (PCP) approaches and self-direct-support (SDS) measures such as direct payments (DP) and personal budgets (PB). </w:t>
      </w:r>
    </w:p>
    <w:p w14:paraId="180A7ECE" w14:textId="77777777" w:rsidR="005D23FA" w:rsidRPr="005F6C5F" w:rsidRDefault="005D23FA" w:rsidP="00393E33">
      <w:pPr>
        <w:spacing w:after="120" w:line="360" w:lineRule="auto"/>
        <w:jc w:val="both"/>
        <w:rPr>
          <w:rFonts w:cstheme="minorHAnsi"/>
          <w:color w:val="000000" w:themeColor="text1"/>
          <w:lang w:val="en-GB"/>
        </w:rPr>
      </w:pPr>
      <w:r w:rsidRPr="005F6C5F">
        <w:rPr>
          <w:rFonts w:cstheme="minorHAnsi"/>
          <w:color w:val="000000" w:themeColor="text1"/>
          <w:lang w:val="en-GB"/>
        </w:rPr>
        <w:lastRenderedPageBreak/>
        <w:t xml:space="preserve">DP and PB are cash-for-care schemes, hence forms of economic transfers in lieu of services (Glasby, 2012). DP are cash payments made to individuals who can spend them for support and services they have been assessed as needing.  DP for instance can be used to purchase support from personal assistants. DP were first introduced for disabled adults under the age of 65 with the Community Care (Direct Payments) Act 1996. They have then been extended to other users’ groups: older people, people with mental health problems and parent and carers of disabled children. The Health and Social Care Act 2001 mandated local authorities to offer DP to all those with an assessed need. A step further was made when Putting People First called for the use of PB as a way to provide more choice and control to those eligible to social care support. PB differs from DP in that they can be used more flexibility for support and services the individuals themselves choose. PB are not cash equivalent of services but money allocated based on an assessed level of need of individuals. The introduction of PB was to be supported by a new assessment system and a new Resource Allocation System (RAS) able to link assessed levels of need to a monetary equivalent. With the Care Act 2014, LA have been required to provide a PB to all adults with eligible needs.  Both DP and PB are tools promoted to encourage PCP practices, an approach to support planning placing individuals – rather than services – at the start of the process and aiming at shaping services around them and their choices, rather than fitting them into services. </w:t>
      </w:r>
    </w:p>
    <w:p w14:paraId="65AF711C" w14:textId="77777777" w:rsidR="005D23FA" w:rsidRPr="005F6C5F" w:rsidRDefault="005D23FA" w:rsidP="00393E33">
      <w:pPr>
        <w:spacing w:after="120" w:line="360" w:lineRule="auto"/>
        <w:jc w:val="both"/>
        <w:rPr>
          <w:color w:val="000000" w:themeColor="text1"/>
          <w:lang w:val="en-GB"/>
        </w:rPr>
      </w:pPr>
      <w:r w:rsidRPr="005F6C5F">
        <w:rPr>
          <w:rFonts w:cstheme="minorHAnsi"/>
          <w:color w:val="000000" w:themeColor="text1"/>
          <w:lang w:val="en-GB"/>
        </w:rPr>
        <w:t>Personal Health Budgets (PHB) have also been piloted in England between 2009 and 2012 and, since October 2014, all individuals eligible for continuing health care</w:t>
      </w:r>
      <w:r w:rsidRPr="005F6C5F">
        <w:rPr>
          <w:rStyle w:val="Rimandonotaapidipagina"/>
          <w:rFonts w:cstheme="minorHAnsi"/>
          <w:color w:val="000000" w:themeColor="text1"/>
          <w:lang w:val="en-GB"/>
        </w:rPr>
        <w:footnoteReference w:id="1"/>
      </w:r>
      <w:r w:rsidRPr="005F6C5F">
        <w:rPr>
          <w:rFonts w:cstheme="minorHAnsi"/>
          <w:color w:val="000000" w:themeColor="text1"/>
          <w:lang w:val="en-GB"/>
        </w:rPr>
        <w:t xml:space="preserve"> have the right to have a PHB. </w:t>
      </w:r>
      <w:r w:rsidRPr="005F6C5F">
        <w:rPr>
          <w:color w:val="000000" w:themeColor="text1"/>
          <w:lang w:val="en-GB"/>
        </w:rPr>
        <w:t xml:space="preserve">A PHB is an amount of money that, following an assessment, is identified as suitable to support the healthcare and wellbeing needs of an individual and that the individual can decide to spend for a range of therapies, equipment and personal care services in line with agreed health and wellbeing outcomes. </w:t>
      </w:r>
      <w:r w:rsidRPr="005F6C5F">
        <w:rPr>
          <w:rFonts w:cstheme="minorHAnsi"/>
          <w:color w:val="000000" w:themeColor="text1"/>
          <w:lang w:val="en-GB"/>
        </w:rPr>
        <w:t>PHB could be one of the most radical changes for NHS services if they are rolled out beyond continuing health care services. T</w:t>
      </w:r>
      <w:r w:rsidRPr="005F6C5F">
        <w:rPr>
          <w:color w:val="000000" w:themeColor="text1"/>
          <w:lang w:val="en-GB"/>
        </w:rPr>
        <w:t>here is an expectation that their use will increase among people with long-term conditions, learning disability, autism and mental health problems. Moreover, PHB have been used in the context of end of life care and have recently been piloted in maternity care services.</w:t>
      </w:r>
    </w:p>
    <w:p w14:paraId="16933BEE" w14:textId="77777777" w:rsidR="005D23FA" w:rsidRPr="005F6C5F" w:rsidRDefault="005D23FA" w:rsidP="00393E33">
      <w:pPr>
        <w:spacing w:after="120" w:line="360" w:lineRule="auto"/>
        <w:jc w:val="both"/>
        <w:rPr>
          <w:color w:val="000000" w:themeColor="text1"/>
          <w:lang w:val="en-GB"/>
        </w:rPr>
      </w:pPr>
      <w:r w:rsidRPr="005F6C5F">
        <w:rPr>
          <w:color w:val="000000" w:themeColor="text1"/>
          <w:lang w:val="en-GB"/>
        </w:rPr>
        <w:t xml:space="preserve">To conclude our section of the toolkit of choice agendas in the UK, we refer to the </w:t>
      </w:r>
      <w:r w:rsidRPr="005F6C5F">
        <w:rPr>
          <w:rFonts w:cstheme="minorHAnsi"/>
          <w:color w:val="000000" w:themeColor="text1"/>
          <w:lang w:val="en-GB"/>
        </w:rPr>
        <w:t>Children and Family Act 2014 and its proclaimed objective of giving young people with special education needs (SEN) and disabilities greater choice and control over the entire realm of their education, health and care support, transforming the SEN system for children and young people aged 0 to 25 years old introducing Education Health and Care Plans (EHCP). In addition to PB and PHB, EHCP imply also the possibility of requesting Education Budgets.</w:t>
      </w:r>
    </w:p>
    <w:p w14:paraId="296EDD7F" w14:textId="77777777" w:rsidR="005D23FA" w:rsidRPr="005F6C5F" w:rsidRDefault="005D23FA" w:rsidP="00393E33">
      <w:pPr>
        <w:spacing w:after="120" w:line="360" w:lineRule="auto"/>
        <w:ind w:firstLine="708"/>
        <w:jc w:val="both"/>
        <w:rPr>
          <w:color w:val="000000" w:themeColor="text1"/>
          <w:u w:val="single"/>
          <w:lang w:val="en-GB"/>
        </w:rPr>
      </w:pPr>
      <w:bookmarkStart w:id="2" w:name="_Hlk512783651"/>
      <w:r w:rsidRPr="005F6C5F">
        <w:rPr>
          <w:color w:val="000000" w:themeColor="text1"/>
          <w:u w:val="single"/>
          <w:lang w:val="en-GB"/>
        </w:rPr>
        <w:t>The region of Lombardy</w:t>
      </w:r>
    </w:p>
    <w:bookmarkEnd w:id="2"/>
    <w:p w14:paraId="1D342848" w14:textId="77777777" w:rsidR="005D23FA" w:rsidRPr="005F6C5F" w:rsidRDefault="005D23FA" w:rsidP="00393E33">
      <w:pPr>
        <w:spacing w:after="120" w:line="360" w:lineRule="auto"/>
        <w:jc w:val="both"/>
        <w:rPr>
          <w:rFonts w:cstheme="minorHAnsi"/>
          <w:color w:val="000000" w:themeColor="text1"/>
          <w:lang w:val="en-GB"/>
        </w:rPr>
      </w:pPr>
      <w:r w:rsidRPr="005F6C5F">
        <w:rPr>
          <w:rFonts w:cstheme="minorHAnsi"/>
          <w:color w:val="000000" w:themeColor="text1"/>
          <w:lang w:val="en-GB"/>
        </w:rPr>
        <w:lastRenderedPageBreak/>
        <w:t>In the case of the region of Lombardy, the origins and development of choice agendas are to be found in the context of the changes brought about by the reform of social welfare in Italy and which law no. 328/2000 (</w:t>
      </w:r>
      <w:proofErr w:type="spellStart"/>
      <w:r w:rsidRPr="005F6C5F">
        <w:rPr>
          <w:rFonts w:cstheme="minorHAnsi"/>
          <w:color w:val="000000" w:themeColor="text1"/>
          <w:lang w:val="en-GB"/>
        </w:rPr>
        <w:t>Legge</w:t>
      </w:r>
      <w:proofErr w:type="spellEnd"/>
      <w:r w:rsidRPr="005F6C5F">
        <w:rPr>
          <w:rFonts w:cstheme="minorHAnsi"/>
          <w:color w:val="000000" w:themeColor="text1"/>
          <w:lang w:val="en-GB"/>
        </w:rPr>
        <w:t xml:space="preserve"> </w:t>
      </w:r>
      <w:proofErr w:type="spellStart"/>
      <w:r w:rsidRPr="005F6C5F">
        <w:rPr>
          <w:rFonts w:cstheme="minorHAnsi"/>
          <w:color w:val="000000" w:themeColor="text1"/>
          <w:lang w:val="en-GB"/>
        </w:rPr>
        <w:t>quadro</w:t>
      </w:r>
      <w:proofErr w:type="spellEnd"/>
      <w:r w:rsidRPr="005F6C5F">
        <w:rPr>
          <w:rFonts w:cstheme="minorHAnsi"/>
          <w:color w:val="000000" w:themeColor="text1"/>
          <w:lang w:val="en-GB"/>
        </w:rPr>
        <w:t xml:space="preserve"> per la </w:t>
      </w:r>
      <w:proofErr w:type="spellStart"/>
      <w:r w:rsidRPr="005F6C5F">
        <w:rPr>
          <w:rFonts w:cstheme="minorHAnsi"/>
          <w:color w:val="000000" w:themeColor="text1"/>
          <w:lang w:val="en-GB"/>
        </w:rPr>
        <w:t>realizzazione</w:t>
      </w:r>
      <w:proofErr w:type="spellEnd"/>
      <w:r w:rsidRPr="005F6C5F">
        <w:rPr>
          <w:rFonts w:cstheme="minorHAnsi"/>
          <w:color w:val="000000" w:themeColor="text1"/>
          <w:lang w:val="en-GB"/>
        </w:rPr>
        <w:t xml:space="preserve"> del Sistema </w:t>
      </w:r>
      <w:proofErr w:type="spellStart"/>
      <w:r w:rsidRPr="005F6C5F">
        <w:rPr>
          <w:rFonts w:cstheme="minorHAnsi"/>
          <w:color w:val="000000" w:themeColor="text1"/>
          <w:lang w:val="en-GB"/>
        </w:rPr>
        <w:t>integrato</w:t>
      </w:r>
      <w:proofErr w:type="spellEnd"/>
      <w:r w:rsidRPr="005F6C5F">
        <w:rPr>
          <w:rFonts w:cstheme="minorHAnsi"/>
          <w:color w:val="000000" w:themeColor="text1"/>
          <w:lang w:val="en-GB"/>
        </w:rPr>
        <w:t xml:space="preserve"> di </w:t>
      </w:r>
      <w:proofErr w:type="spellStart"/>
      <w:r w:rsidRPr="005F6C5F">
        <w:rPr>
          <w:rFonts w:cstheme="minorHAnsi"/>
          <w:color w:val="000000" w:themeColor="text1"/>
          <w:lang w:val="en-GB"/>
        </w:rPr>
        <w:t>interventi</w:t>
      </w:r>
      <w:proofErr w:type="spellEnd"/>
      <w:r w:rsidRPr="005F6C5F">
        <w:rPr>
          <w:rFonts w:cstheme="minorHAnsi"/>
          <w:color w:val="000000" w:themeColor="text1"/>
          <w:lang w:val="en-GB"/>
        </w:rPr>
        <w:t xml:space="preserve"> e </w:t>
      </w:r>
      <w:proofErr w:type="spellStart"/>
      <w:r w:rsidRPr="005F6C5F">
        <w:rPr>
          <w:rFonts w:cstheme="minorHAnsi"/>
          <w:color w:val="000000" w:themeColor="text1"/>
          <w:lang w:val="en-GB"/>
        </w:rPr>
        <w:t>servizi</w:t>
      </w:r>
      <w:proofErr w:type="spellEnd"/>
      <w:r w:rsidRPr="005F6C5F">
        <w:rPr>
          <w:rFonts w:cstheme="minorHAnsi"/>
          <w:color w:val="000000" w:themeColor="text1"/>
          <w:lang w:val="en-GB"/>
        </w:rPr>
        <w:t xml:space="preserve"> </w:t>
      </w:r>
      <w:proofErr w:type="spellStart"/>
      <w:r w:rsidRPr="005F6C5F">
        <w:rPr>
          <w:rFonts w:cstheme="minorHAnsi"/>
          <w:color w:val="000000" w:themeColor="text1"/>
          <w:lang w:val="en-GB"/>
        </w:rPr>
        <w:t>sociali</w:t>
      </w:r>
      <w:proofErr w:type="spellEnd"/>
      <w:r w:rsidRPr="005F6C5F">
        <w:rPr>
          <w:rFonts w:cstheme="minorHAnsi"/>
          <w:color w:val="000000" w:themeColor="text1"/>
          <w:lang w:val="en-GB"/>
        </w:rPr>
        <w:t xml:space="preserve">) initiated. </w:t>
      </w:r>
    </w:p>
    <w:p w14:paraId="74FA0F25" w14:textId="0E83955F" w:rsidR="005D23FA" w:rsidRPr="005F6C5F" w:rsidRDefault="005D23FA" w:rsidP="00393E33">
      <w:pPr>
        <w:spacing w:after="120" w:line="360" w:lineRule="auto"/>
        <w:jc w:val="both"/>
        <w:rPr>
          <w:rFonts w:cstheme="minorHAnsi"/>
          <w:color w:val="000000" w:themeColor="text1"/>
          <w:lang w:val="en-GB"/>
        </w:rPr>
      </w:pPr>
      <w:r w:rsidRPr="005F6C5F">
        <w:rPr>
          <w:rFonts w:cstheme="minorHAnsi"/>
          <w:color w:val="000000" w:themeColor="text1"/>
          <w:lang w:val="en-GB"/>
        </w:rPr>
        <w:t>One of the main changes which this law brought about regards the introduction of quasi-markets and voucher-style mechanisms in health and social care services and, through these, the institutionalisation of horizontal subsidiarity between public and private welfare actors (</w:t>
      </w:r>
      <w:proofErr w:type="spellStart"/>
      <w:r w:rsidRPr="005F6C5F">
        <w:rPr>
          <w:rFonts w:cstheme="minorHAnsi"/>
          <w:color w:val="000000" w:themeColor="text1"/>
          <w:lang w:val="en-GB"/>
        </w:rPr>
        <w:t>Bifulco</w:t>
      </w:r>
      <w:proofErr w:type="spellEnd"/>
      <w:r w:rsidRPr="005F6C5F">
        <w:rPr>
          <w:rFonts w:cstheme="minorHAnsi"/>
          <w:color w:val="000000" w:themeColor="text1"/>
          <w:lang w:val="en-GB"/>
        </w:rPr>
        <w:t xml:space="preserve"> &amp; Vitale, 2005). This means that c</w:t>
      </w:r>
      <w:r w:rsidRPr="005F6C5F">
        <w:rPr>
          <w:rFonts w:cstheme="minorHAnsi"/>
          <w:color w:val="000000" w:themeColor="text1"/>
          <w:shd w:val="clear" w:color="auto" w:fill="FFFFFF"/>
          <w:lang w:val="en-GB"/>
        </w:rPr>
        <w:t xml:space="preserve">itizens, whether as individuals or as associations, together with third sector organisations and the private sector are called to take part in the production, planning and delivery of social welfare services. </w:t>
      </w:r>
      <w:r w:rsidRPr="005F6C5F">
        <w:rPr>
          <w:rFonts w:cstheme="minorHAnsi"/>
          <w:color w:val="000000" w:themeColor="text1"/>
          <w:lang w:val="en-GB"/>
        </w:rPr>
        <w:t xml:space="preserve">Different regions in Italy implemented such horizontal subsidiarity in different ways, the region of </w:t>
      </w:r>
      <w:r w:rsidRPr="005F6C5F">
        <w:rPr>
          <w:rFonts w:cstheme="minorHAnsi"/>
          <w:color w:val="000000" w:themeColor="text1"/>
          <w:shd w:val="clear" w:color="auto" w:fill="FFFFFF"/>
          <w:lang w:val="en-GB"/>
        </w:rPr>
        <w:t>Lombardy – among other measures - by requiring</w:t>
      </w:r>
      <w:r w:rsidRPr="005F6C5F">
        <w:rPr>
          <w:rFonts w:cstheme="minorHAnsi"/>
          <w:color w:val="000000" w:themeColor="text1"/>
          <w:lang w:val="en-GB"/>
        </w:rPr>
        <w:t xml:space="preserve"> municipalities to spend in cash rather than in services and to convert some of their socio-medical care interventions into vouchers (</w:t>
      </w:r>
      <w:proofErr w:type="spellStart"/>
      <w:r w:rsidRPr="005F6C5F">
        <w:rPr>
          <w:rFonts w:cstheme="minorHAnsi"/>
          <w:color w:val="000000" w:themeColor="text1"/>
          <w:lang w:val="en-GB"/>
        </w:rPr>
        <w:t>Bifulco</w:t>
      </w:r>
      <w:proofErr w:type="spellEnd"/>
      <w:r w:rsidRPr="005F6C5F">
        <w:rPr>
          <w:rFonts w:cstheme="minorHAnsi"/>
          <w:color w:val="000000" w:themeColor="text1"/>
          <w:lang w:val="en-GB"/>
        </w:rPr>
        <w:t xml:space="preserve"> &amp; Vitale, 2006) or </w:t>
      </w:r>
      <w:proofErr w:type="spellStart"/>
      <w:r w:rsidRPr="005F6C5F">
        <w:rPr>
          <w:rFonts w:cstheme="minorHAnsi"/>
          <w:i/>
          <w:color w:val="000000" w:themeColor="text1"/>
          <w:lang w:val="en-GB"/>
        </w:rPr>
        <w:t>buoni</w:t>
      </w:r>
      <w:proofErr w:type="spellEnd"/>
      <w:r w:rsidRPr="005F6C5F">
        <w:rPr>
          <w:rFonts w:cstheme="minorHAnsi"/>
          <w:color w:val="000000" w:themeColor="text1"/>
          <w:lang w:val="en-GB"/>
        </w:rPr>
        <w:t xml:space="preserve">, this last one representing a form of cash for care similar to a direct payment and generally used to purchase domiciliary care from informal personal assistants, including family members and friends.  </w:t>
      </w:r>
    </w:p>
    <w:p w14:paraId="57181B42" w14:textId="26CDCB69" w:rsidR="005D23FA" w:rsidRPr="005F6C5F" w:rsidRDefault="005D23FA" w:rsidP="00393E33">
      <w:pPr>
        <w:autoSpaceDE w:val="0"/>
        <w:autoSpaceDN w:val="0"/>
        <w:adjustRightInd w:val="0"/>
        <w:spacing w:after="120" w:line="360" w:lineRule="auto"/>
        <w:jc w:val="both"/>
        <w:rPr>
          <w:rFonts w:cstheme="minorHAnsi"/>
          <w:color w:val="000000" w:themeColor="text1"/>
          <w:shd w:val="clear" w:color="auto" w:fill="FFFFFF"/>
          <w:lang w:val="en-GB"/>
        </w:rPr>
      </w:pPr>
      <w:r w:rsidRPr="005F6C5F">
        <w:rPr>
          <w:rFonts w:cstheme="minorHAnsi"/>
          <w:color w:val="000000" w:themeColor="text1"/>
          <w:lang w:val="en-GB"/>
        </w:rPr>
        <w:t xml:space="preserve">Freedom of choice for individuals and their families has been the ideological driver for the introduction of vouchers and </w:t>
      </w:r>
      <w:proofErr w:type="spellStart"/>
      <w:r w:rsidRPr="005F6C5F">
        <w:rPr>
          <w:rFonts w:cstheme="minorHAnsi"/>
          <w:i/>
          <w:color w:val="000000" w:themeColor="text1"/>
          <w:lang w:val="en-GB"/>
        </w:rPr>
        <w:t>buoni</w:t>
      </w:r>
      <w:proofErr w:type="spellEnd"/>
      <w:r w:rsidRPr="005F6C5F">
        <w:rPr>
          <w:rFonts w:cstheme="minorHAnsi"/>
          <w:color w:val="000000" w:themeColor="text1"/>
          <w:lang w:val="en-GB"/>
        </w:rPr>
        <w:t xml:space="preserve"> (</w:t>
      </w:r>
      <w:proofErr w:type="spellStart"/>
      <w:r w:rsidRPr="005F6C5F">
        <w:rPr>
          <w:rFonts w:cstheme="minorHAnsi"/>
          <w:color w:val="000000" w:themeColor="text1"/>
          <w:lang w:val="en-GB"/>
        </w:rPr>
        <w:t>Pasquinelli</w:t>
      </w:r>
      <w:proofErr w:type="spellEnd"/>
      <w:r w:rsidRPr="005F6C5F">
        <w:rPr>
          <w:rFonts w:cstheme="minorHAnsi"/>
          <w:color w:val="000000" w:themeColor="text1"/>
          <w:lang w:val="en-GB"/>
        </w:rPr>
        <w:t xml:space="preserve"> 2006; Marotta 2010) by the Lombardian centre-right wing government since 2000 and this same path has been followed even in successive legislations. Individuals are trusted to make rational choices and markets are supposed to widen their range so to meet the different needs and wants of a diverse population of users-consumers. To support such mechanisms, the region of Lombardy introduced </w:t>
      </w:r>
      <w:r w:rsidRPr="005F6C5F">
        <w:rPr>
          <w:rFonts w:cstheme="minorHAnsi"/>
          <w:color w:val="000000" w:themeColor="text1"/>
          <w:shd w:val="clear" w:color="auto" w:fill="FFFFFF"/>
          <w:lang w:val="en-GB"/>
        </w:rPr>
        <w:t xml:space="preserve">- between 2001 and 2003 - both </w:t>
      </w:r>
      <w:proofErr w:type="spellStart"/>
      <w:r w:rsidRPr="005F6C5F">
        <w:rPr>
          <w:rFonts w:cstheme="minorHAnsi"/>
          <w:i/>
          <w:color w:val="000000" w:themeColor="text1"/>
          <w:shd w:val="clear" w:color="auto" w:fill="FFFFFF"/>
          <w:lang w:val="en-GB"/>
        </w:rPr>
        <w:t>buoni</w:t>
      </w:r>
      <w:proofErr w:type="spellEnd"/>
      <w:r w:rsidRPr="005F6C5F">
        <w:rPr>
          <w:rFonts w:cstheme="minorHAnsi"/>
          <w:color w:val="000000" w:themeColor="text1"/>
          <w:shd w:val="clear" w:color="auto" w:fill="FFFFFF"/>
          <w:lang w:val="en-GB"/>
        </w:rPr>
        <w:t xml:space="preserve"> and social vouchers </w:t>
      </w:r>
      <w:r w:rsidR="00D647BE" w:rsidRPr="005F6C5F">
        <w:rPr>
          <w:rFonts w:cstheme="minorHAnsi"/>
          <w:color w:val="000000" w:themeColor="text1"/>
          <w:shd w:val="clear" w:color="auto" w:fill="FFFFFF"/>
          <w:lang w:val="en-GB"/>
        </w:rPr>
        <w:t>administered</w:t>
      </w:r>
      <w:r w:rsidRPr="005F6C5F">
        <w:rPr>
          <w:rFonts w:cstheme="minorHAnsi"/>
          <w:color w:val="000000" w:themeColor="text1"/>
          <w:shd w:val="clear" w:color="auto" w:fill="FFFFFF"/>
          <w:lang w:val="en-GB"/>
        </w:rPr>
        <w:t xml:space="preserve"> by </w:t>
      </w:r>
      <w:proofErr w:type="gramStart"/>
      <w:r w:rsidRPr="005F6C5F">
        <w:rPr>
          <w:rFonts w:cstheme="minorHAnsi"/>
          <w:color w:val="000000" w:themeColor="text1"/>
          <w:shd w:val="clear" w:color="auto" w:fill="FFFFFF"/>
          <w:lang w:val="en-GB"/>
        </w:rPr>
        <w:t>municipalities(</w:t>
      </w:r>
      <w:proofErr w:type="gramEnd"/>
      <w:r w:rsidRPr="005F6C5F">
        <w:rPr>
          <w:rFonts w:cstheme="minorHAnsi"/>
          <w:color w:val="000000" w:themeColor="text1"/>
          <w:shd w:val="clear" w:color="auto" w:fill="FFFFFF"/>
          <w:lang w:val="en-GB"/>
        </w:rPr>
        <w:t xml:space="preserve">Monteleone 2005; </w:t>
      </w:r>
      <w:proofErr w:type="spellStart"/>
      <w:r w:rsidRPr="005F6C5F">
        <w:rPr>
          <w:rFonts w:cstheme="minorHAnsi"/>
          <w:color w:val="000000" w:themeColor="text1"/>
          <w:shd w:val="clear" w:color="auto" w:fill="FFFFFF"/>
          <w:lang w:val="en-GB"/>
        </w:rPr>
        <w:t>Pasquinelli</w:t>
      </w:r>
      <w:proofErr w:type="spellEnd"/>
      <w:r w:rsidRPr="005F6C5F">
        <w:rPr>
          <w:rFonts w:cstheme="minorHAnsi"/>
          <w:color w:val="000000" w:themeColor="text1"/>
          <w:shd w:val="clear" w:color="auto" w:fill="FFFFFF"/>
          <w:lang w:val="en-GB"/>
        </w:rPr>
        <w:t xml:space="preserve"> 2006; </w:t>
      </w:r>
      <w:proofErr w:type="spellStart"/>
      <w:r w:rsidRPr="005F6C5F">
        <w:rPr>
          <w:rFonts w:cstheme="minorHAnsi"/>
          <w:color w:val="000000" w:themeColor="text1"/>
          <w:shd w:val="clear" w:color="auto" w:fill="FFFFFF"/>
          <w:lang w:val="en-GB"/>
        </w:rPr>
        <w:t>Bifulco</w:t>
      </w:r>
      <w:proofErr w:type="spellEnd"/>
      <w:r w:rsidRPr="005F6C5F">
        <w:rPr>
          <w:rFonts w:cstheme="minorHAnsi"/>
          <w:color w:val="000000" w:themeColor="text1"/>
          <w:shd w:val="clear" w:color="auto" w:fill="FFFFFF"/>
          <w:lang w:val="en-GB"/>
        </w:rPr>
        <w:t xml:space="preserve"> 2016) and socio-medical vouchers </w:t>
      </w:r>
      <w:r w:rsidR="00D647BE" w:rsidRPr="005F6C5F">
        <w:rPr>
          <w:rFonts w:cstheme="minorHAnsi"/>
          <w:color w:val="000000" w:themeColor="text1"/>
          <w:shd w:val="clear" w:color="auto" w:fill="FFFFFF"/>
          <w:lang w:val="en-GB"/>
        </w:rPr>
        <w:t>administered</w:t>
      </w:r>
      <w:r w:rsidRPr="005F6C5F">
        <w:rPr>
          <w:rFonts w:cstheme="minorHAnsi"/>
          <w:color w:val="000000" w:themeColor="text1"/>
          <w:shd w:val="clear" w:color="auto" w:fill="FFFFFF"/>
          <w:lang w:val="en-GB"/>
        </w:rPr>
        <w:t xml:space="preserve"> by local health authorities (Gori 2005; </w:t>
      </w:r>
      <w:proofErr w:type="spellStart"/>
      <w:r w:rsidRPr="005F6C5F">
        <w:rPr>
          <w:rFonts w:cstheme="minorHAnsi"/>
          <w:color w:val="000000" w:themeColor="text1"/>
          <w:shd w:val="clear" w:color="auto" w:fill="FFFFFF"/>
          <w:lang w:val="en-GB"/>
        </w:rPr>
        <w:t>Giunco</w:t>
      </w:r>
      <w:proofErr w:type="spellEnd"/>
      <w:r w:rsidRPr="005F6C5F">
        <w:rPr>
          <w:rFonts w:cstheme="minorHAnsi"/>
          <w:color w:val="000000" w:themeColor="text1"/>
          <w:shd w:val="clear" w:color="auto" w:fill="FFFFFF"/>
          <w:lang w:val="en-GB"/>
        </w:rPr>
        <w:t xml:space="preserve"> 2010). </w:t>
      </w:r>
    </w:p>
    <w:p w14:paraId="52DA9163" w14:textId="77777777" w:rsidR="005D23FA" w:rsidRPr="005F6C5F" w:rsidRDefault="005D23FA" w:rsidP="00393E33">
      <w:pPr>
        <w:spacing w:after="120" w:line="360" w:lineRule="auto"/>
        <w:jc w:val="both"/>
        <w:rPr>
          <w:rFonts w:cstheme="minorHAnsi"/>
          <w:color w:val="000000" w:themeColor="text1"/>
          <w:shd w:val="clear" w:color="auto" w:fill="FFFFFF"/>
          <w:lang w:val="en-GB"/>
        </w:rPr>
      </w:pPr>
      <w:r w:rsidRPr="005F6C5F">
        <w:rPr>
          <w:rFonts w:cstheme="minorHAnsi"/>
          <w:color w:val="000000" w:themeColor="text1"/>
          <w:shd w:val="clear" w:color="auto" w:fill="FFFFFF"/>
          <w:lang w:val="en-GB"/>
        </w:rPr>
        <w:t xml:space="preserve">Both social and socio-medical vouchers required the region to set up an accreditation system through which suitable providers could be identified. Also, to unleash the role of both users, families and the private sector, the region – while strengthening its role as funder and regulatory body - assumed only a very weak directing role in regards to the way local areas would implement and deliver such reforms. </w:t>
      </w:r>
    </w:p>
    <w:p w14:paraId="260857B6" w14:textId="400134B1" w:rsidR="005D23FA" w:rsidRPr="005F6C5F" w:rsidRDefault="005D23FA" w:rsidP="00393E33">
      <w:pPr>
        <w:autoSpaceDE w:val="0"/>
        <w:autoSpaceDN w:val="0"/>
        <w:adjustRightInd w:val="0"/>
        <w:spacing w:after="120" w:line="360" w:lineRule="auto"/>
        <w:jc w:val="both"/>
        <w:rPr>
          <w:rFonts w:cstheme="minorHAnsi"/>
          <w:color w:val="000000" w:themeColor="text1"/>
          <w:lang w:val="en-GB"/>
        </w:rPr>
      </w:pPr>
      <w:r w:rsidRPr="005F6C5F">
        <w:rPr>
          <w:rFonts w:cstheme="minorHAnsi"/>
          <w:color w:val="000000" w:themeColor="text1"/>
          <w:shd w:val="clear" w:color="auto" w:fill="FFFFFF"/>
          <w:lang w:val="en-GB"/>
        </w:rPr>
        <w:t xml:space="preserve">Freedom of choice and trust in quasi-markets have continued to animate the direction of the Lombardian centre-right wing government also after its first legislation, when vouchers and </w:t>
      </w:r>
      <w:proofErr w:type="spellStart"/>
      <w:r w:rsidRPr="005F6C5F">
        <w:rPr>
          <w:rFonts w:cstheme="minorHAnsi"/>
          <w:color w:val="000000" w:themeColor="text1"/>
          <w:shd w:val="clear" w:color="auto" w:fill="FFFFFF"/>
          <w:lang w:val="en-GB"/>
        </w:rPr>
        <w:t>buoni</w:t>
      </w:r>
      <w:proofErr w:type="spellEnd"/>
      <w:r w:rsidRPr="005F6C5F">
        <w:rPr>
          <w:rFonts w:cstheme="minorHAnsi"/>
          <w:color w:val="000000" w:themeColor="text1"/>
          <w:shd w:val="clear" w:color="auto" w:fill="FFFFFF"/>
          <w:lang w:val="en-GB"/>
        </w:rPr>
        <w:t xml:space="preserve"> were introduced, </w:t>
      </w:r>
      <w:r w:rsidR="00DD4F3C" w:rsidRPr="005F6C5F">
        <w:rPr>
          <w:rFonts w:cstheme="minorHAnsi"/>
          <w:color w:val="000000" w:themeColor="text1"/>
          <w:lang w:val="en-GB"/>
        </w:rPr>
        <w:t>and independently</w:t>
      </w:r>
      <w:r w:rsidRPr="005F6C5F">
        <w:rPr>
          <w:rFonts w:cstheme="minorHAnsi"/>
          <w:color w:val="000000" w:themeColor="text1"/>
          <w:lang w:val="en-GB"/>
        </w:rPr>
        <w:t xml:space="preserve"> from any evidence and analysis regarding required reforms (Gori 2005).</w:t>
      </w:r>
    </w:p>
    <w:p w14:paraId="57E7600D" w14:textId="72924C6A" w:rsidR="005D23FA" w:rsidRPr="005F6C5F" w:rsidRDefault="005D23FA" w:rsidP="00393E33">
      <w:pPr>
        <w:autoSpaceDE w:val="0"/>
        <w:autoSpaceDN w:val="0"/>
        <w:adjustRightInd w:val="0"/>
        <w:spacing w:after="120" w:line="360" w:lineRule="auto"/>
        <w:jc w:val="both"/>
        <w:rPr>
          <w:rFonts w:cstheme="minorHAnsi"/>
          <w:color w:val="000000" w:themeColor="text1"/>
          <w:lang w:val="en-GB"/>
        </w:rPr>
      </w:pPr>
      <w:r w:rsidRPr="005F6C5F">
        <w:rPr>
          <w:rFonts w:cstheme="minorHAnsi"/>
          <w:color w:val="000000" w:themeColor="text1"/>
          <w:lang w:val="en-GB"/>
        </w:rPr>
        <w:t xml:space="preserve">Key initiatives introduced in 2006, 2015 and 2016 – </w:t>
      </w:r>
      <w:proofErr w:type="spellStart"/>
      <w:r w:rsidRPr="005F6C5F">
        <w:rPr>
          <w:rFonts w:cstheme="minorHAnsi"/>
          <w:i/>
          <w:iCs/>
          <w:color w:val="000000" w:themeColor="text1"/>
          <w:lang w:val="en-GB"/>
        </w:rPr>
        <w:t>Fondo</w:t>
      </w:r>
      <w:proofErr w:type="spellEnd"/>
      <w:r w:rsidRPr="005F6C5F">
        <w:rPr>
          <w:rFonts w:cstheme="minorHAnsi"/>
          <w:i/>
          <w:iCs/>
          <w:color w:val="000000" w:themeColor="text1"/>
          <w:lang w:val="en-GB"/>
        </w:rPr>
        <w:t xml:space="preserve"> Nazionale per le Non </w:t>
      </w:r>
      <w:proofErr w:type="spellStart"/>
      <w:r w:rsidRPr="005F6C5F">
        <w:rPr>
          <w:rFonts w:cstheme="minorHAnsi"/>
          <w:i/>
          <w:iCs/>
          <w:color w:val="000000" w:themeColor="text1"/>
          <w:lang w:val="en-GB"/>
        </w:rPr>
        <w:t>Autosufficienze</w:t>
      </w:r>
      <w:proofErr w:type="spellEnd"/>
      <w:r w:rsidRPr="005F6C5F">
        <w:rPr>
          <w:rFonts w:cstheme="minorHAnsi"/>
          <w:i/>
          <w:iCs/>
          <w:color w:val="000000" w:themeColor="text1"/>
          <w:lang w:val="en-GB"/>
        </w:rPr>
        <w:t xml:space="preserve"> </w:t>
      </w:r>
      <w:r w:rsidRPr="005F6C5F">
        <w:rPr>
          <w:rFonts w:cstheme="minorHAnsi"/>
          <w:color w:val="000000" w:themeColor="text1"/>
          <w:lang w:val="en-GB"/>
        </w:rPr>
        <w:t>(</w:t>
      </w:r>
      <w:proofErr w:type="spellStart"/>
      <w:r w:rsidRPr="005F6C5F">
        <w:rPr>
          <w:rFonts w:cstheme="minorHAnsi"/>
          <w:color w:val="000000" w:themeColor="text1"/>
          <w:lang w:val="en-GB"/>
        </w:rPr>
        <w:t>Fna</w:t>
      </w:r>
      <w:proofErr w:type="spellEnd"/>
      <w:r w:rsidRPr="005F6C5F">
        <w:rPr>
          <w:rFonts w:cstheme="minorHAnsi"/>
          <w:color w:val="000000" w:themeColor="text1"/>
          <w:lang w:val="en-GB"/>
        </w:rPr>
        <w:t xml:space="preserve">), </w:t>
      </w:r>
      <w:proofErr w:type="spellStart"/>
      <w:r w:rsidRPr="005F6C5F">
        <w:rPr>
          <w:rFonts w:cstheme="minorHAnsi"/>
          <w:i/>
          <w:iCs/>
          <w:color w:val="000000" w:themeColor="text1"/>
          <w:lang w:val="en-GB"/>
        </w:rPr>
        <w:t>Reddito</w:t>
      </w:r>
      <w:proofErr w:type="spellEnd"/>
      <w:r w:rsidRPr="005F6C5F">
        <w:rPr>
          <w:rFonts w:cstheme="minorHAnsi"/>
          <w:i/>
          <w:iCs/>
          <w:color w:val="000000" w:themeColor="text1"/>
          <w:lang w:val="en-GB"/>
        </w:rPr>
        <w:t xml:space="preserve"> di </w:t>
      </w:r>
      <w:proofErr w:type="spellStart"/>
      <w:r w:rsidRPr="005F6C5F">
        <w:rPr>
          <w:rFonts w:cstheme="minorHAnsi"/>
          <w:i/>
          <w:iCs/>
          <w:color w:val="000000" w:themeColor="text1"/>
          <w:lang w:val="en-GB"/>
        </w:rPr>
        <w:t>Autonomia</w:t>
      </w:r>
      <w:proofErr w:type="spellEnd"/>
      <w:r w:rsidRPr="005F6C5F">
        <w:rPr>
          <w:rFonts w:cstheme="minorHAnsi"/>
          <w:i/>
          <w:iCs/>
          <w:color w:val="000000" w:themeColor="text1"/>
          <w:lang w:val="en-GB"/>
        </w:rPr>
        <w:t xml:space="preserve"> </w:t>
      </w:r>
      <w:r w:rsidRPr="005F6C5F">
        <w:rPr>
          <w:rFonts w:cstheme="minorHAnsi"/>
          <w:iCs/>
          <w:color w:val="000000" w:themeColor="text1"/>
          <w:lang w:val="en-GB"/>
        </w:rPr>
        <w:t>(</w:t>
      </w:r>
      <w:proofErr w:type="spellStart"/>
      <w:r w:rsidRPr="005F6C5F">
        <w:rPr>
          <w:rFonts w:cstheme="minorHAnsi"/>
          <w:color w:val="000000" w:themeColor="text1"/>
          <w:lang w:val="en-GB"/>
        </w:rPr>
        <w:t>RdA</w:t>
      </w:r>
      <w:proofErr w:type="spellEnd"/>
      <w:r w:rsidRPr="005F6C5F">
        <w:rPr>
          <w:rFonts w:cstheme="minorHAnsi"/>
          <w:color w:val="000000" w:themeColor="text1"/>
          <w:lang w:val="en-GB"/>
        </w:rPr>
        <w:t xml:space="preserve">) and </w:t>
      </w:r>
      <w:proofErr w:type="spellStart"/>
      <w:r w:rsidRPr="005F6C5F">
        <w:rPr>
          <w:rFonts w:cstheme="minorHAnsi"/>
          <w:i/>
          <w:color w:val="000000" w:themeColor="text1"/>
          <w:lang w:val="en-GB"/>
        </w:rPr>
        <w:t>Dopo</w:t>
      </w:r>
      <w:proofErr w:type="spellEnd"/>
      <w:r w:rsidRPr="005F6C5F">
        <w:rPr>
          <w:rFonts w:cstheme="minorHAnsi"/>
          <w:i/>
          <w:color w:val="000000" w:themeColor="text1"/>
          <w:lang w:val="en-GB"/>
        </w:rPr>
        <w:t xml:space="preserve"> di </w:t>
      </w:r>
      <w:proofErr w:type="spellStart"/>
      <w:r w:rsidRPr="005F6C5F">
        <w:rPr>
          <w:rFonts w:cstheme="minorHAnsi"/>
          <w:i/>
          <w:color w:val="000000" w:themeColor="text1"/>
          <w:lang w:val="en-GB"/>
        </w:rPr>
        <w:t>Noi</w:t>
      </w:r>
      <w:proofErr w:type="spellEnd"/>
      <w:r w:rsidRPr="005F6C5F">
        <w:rPr>
          <w:rFonts w:cstheme="minorHAnsi"/>
          <w:color w:val="000000" w:themeColor="text1"/>
          <w:lang w:val="en-GB"/>
        </w:rPr>
        <w:t xml:space="preserve"> – attest the routing of the </w:t>
      </w:r>
      <w:proofErr w:type="spellStart"/>
      <w:r w:rsidRPr="005F6C5F">
        <w:rPr>
          <w:rFonts w:cstheme="minorHAnsi"/>
          <w:i/>
          <w:color w:val="000000" w:themeColor="text1"/>
          <w:lang w:val="en-GB"/>
        </w:rPr>
        <w:t>voucherisation</w:t>
      </w:r>
      <w:proofErr w:type="spellEnd"/>
      <w:r w:rsidRPr="005F6C5F">
        <w:rPr>
          <w:rFonts w:cstheme="minorHAnsi"/>
          <w:i/>
          <w:color w:val="000000" w:themeColor="text1"/>
          <w:lang w:val="en-GB"/>
        </w:rPr>
        <w:t xml:space="preserve"> </w:t>
      </w:r>
      <w:r w:rsidRPr="005F6C5F">
        <w:rPr>
          <w:rFonts w:cstheme="minorHAnsi"/>
          <w:color w:val="000000" w:themeColor="text1"/>
          <w:lang w:val="en-GB"/>
        </w:rPr>
        <w:t xml:space="preserve">in Lombardy. These have in fact been implemented through the use of vouchers and </w:t>
      </w:r>
      <w:proofErr w:type="spellStart"/>
      <w:r w:rsidRPr="005F6C5F">
        <w:rPr>
          <w:rFonts w:cstheme="minorHAnsi"/>
          <w:color w:val="000000" w:themeColor="text1"/>
          <w:lang w:val="en-GB"/>
        </w:rPr>
        <w:t>buoni</w:t>
      </w:r>
      <w:proofErr w:type="spellEnd"/>
      <w:r w:rsidRPr="005F6C5F">
        <w:rPr>
          <w:rFonts w:cstheme="minorHAnsi"/>
          <w:color w:val="000000" w:themeColor="text1"/>
          <w:lang w:val="en-GB"/>
        </w:rPr>
        <w:t xml:space="preserve">. However, it is also true that such initiatives emphasise the need for better planning at the individual level through person-centred-practices and that, more recently, proposals for the voucher system to be replaced or combined with other models of </w:t>
      </w:r>
      <w:r w:rsidRPr="005F6C5F">
        <w:rPr>
          <w:rFonts w:cstheme="minorHAnsi"/>
          <w:color w:val="000000" w:themeColor="text1"/>
          <w:lang w:val="en-GB"/>
        </w:rPr>
        <w:lastRenderedPageBreak/>
        <w:t xml:space="preserve">personalised care have been advanced. These look at the </w:t>
      </w:r>
      <w:r w:rsidR="00C2017C" w:rsidRPr="005F6C5F">
        <w:rPr>
          <w:rFonts w:cstheme="minorHAnsi"/>
          <w:i/>
          <w:color w:val="000000" w:themeColor="text1"/>
          <w:lang w:val="en-GB"/>
        </w:rPr>
        <w:t>care budgets</w:t>
      </w:r>
      <w:r w:rsidRPr="005F6C5F">
        <w:rPr>
          <w:rFonts w:cstheme="minorHAnsi"/>
          <w:color w:val="000000" w:themeColor="text1"/>
          <w:lang w:val="en-GB"/>
        </w:rPr>
        <w:t xml:space="preserve"> as the tools to personalise care systems around individuals and their choices. </w:t>
      </w:r>
    </w:p>
    <w:p w14:paraId="625CADD5" w14:textId="48143DCE" w:rsidR="005D23FA" w:rsidRPr="005F6C5F" w:rsidRDefault="005D23FA" w:rsidP="00393E33">
      <w:pPr>
        <w:spacing w:after="120" w:line="360" w:lineRule="auto"/>
        <w:jc w:val="both"/>
        <w:rPr>
          <w:rFonts w:ascii="Calibri" w:hAnsi="Calibri" w:cs="Arimo"/>
          <w:color w:val="000000" w:themeColor="text1"/>
          <w:lang w:val="en-GB"/>
        </w:rPr>
      </w:pPr>
      <w:r w:rsidRPr="005F6C5F">
        <w:rPr>
          <w:rFonts w:ascii="Calibri" w:hAnsi="Calibri" w:cs="Arimo"/>
          <w:color w:val="000000" w:themeColor="text1"/>
          <w:lang w:val="en-GB"/>
        </w:rPr>
        <w:t>The policy developments just described exemplify how both England and the Italian region of Lombardy represent contexts in which choice agendas have been institutionalised (</w:t>
      </w:r>
      <w:proofErr w:type="spellStart"/>
      <w:r w:rsidRPr="005F6C5F">
        <w:rPr>
          <w:rFonts w:ascii="Calibri" w:hAnsi="Calibri" w:cs="Arimo"/>
          <w:color w:val="000000" w:themeColor="text1"/>
          <w:lang w:val="en-GB"/>
        </w:rPr>
        <w:t>Carabelli</w:t>
      </w:r>
      <w:proofErr w:type="spellEnd"/>
      <w:r w:rsidRPr="005F6C5F">
        <w:rPr>
          <w:rFonts w:ascii="Calibri" w:hAnsi="Calibri" w:cs="Arimo"/>
          <w:color w:val="000000" w:themeColor="text1"/>
          <w:lang w:val="en-GB"/>
        </w:rPr>
        <w:t xml:space="preserve"> and </w:t>
      </w:r>
      <w:proofErr w:type="spellStart"/>
      <w:r w:rsidRPr="005F6C5F">
        <w:rPr>
          <w:rFonts w:ascii="Calibri" w:hAnsi="Calibri" w:cs="Arimo"/>
          <w:color w:val="000000" w:themeColor="text1"/>
          <w:lang w:val="en-GB"/>
        </w:rPr>
        <w:t>Facchini</w:t>
      </w:r>
      <w:proofErr w:type="spellEnd"/>
      <w:r w:rsidRPr="005F6C5F">
        <w:rPr>
          <w:rFonts w:ascii="Calibri" w:hAnsi="Calibri" w:cs="Arimo"/>
          <w:color w:val="000000" w:themeColor="text1"/>
          <w:lang w:val="en-GB"/>
        </w:rPr>
        <w:t xml:space="preserve"> 2013; Glasby 2012) in the field </w:t>
      </w:r>
      <w:r w:rsidR="00C2017C" w:rsidRPr="005F6C5F">
        <w:rPr>
          <w:rFonts w:ascii="Calibri" w:hAnsi="Calibri" w:cs="Arimo"/>
          <w:color w:val="000000" w:themeColor="text1"/>
          <w:lang w:val="en-GB"/>
        </w:rPr>
        <w:t>o</w:t>
      </w:r>
      <w:r w:rsidRPr="005F6C5F">
        <w:rPr>
          <w:rFonts w:ascii="Calibri" w:hAnsi="Calibri" w:cs="Arimo"/>
          <w:color w:val="000000" w:themeColor="text1"/>
          <w:lang w:val="en-GB"/>
        </w:rPr>
        <w:t xml:space="preserve">f care services for disabled people: the trust in individuals’ willingness and ability to make choices in their best interest </w:t>
      </w:r>
      <w:r w:rsidR="003834F9" w:rsidRPr="005F6C5F">
        <w:rPr>
          <w:rFonts w:ascii="Calibri" w:hAnsi="Calibri" w:cs="Arimo"/>
          <w:color w:val="000000" w:themeColor="text1"/>
          <w:lang w:val="en-GB"/>
        </w:rPr>
        <w:t xml:space="preserve">and the trust in competition, private provision and quasi-markets to provide suitable responses </w:t>
      </w:r>
      <w:r w:rsidRPr="005F6C5F">
        <w:rPr>
          <w:rFonts w:ascii="Calibri" w:hAnsi="Calibri" w:cs="Arimo"/>
          <w:color w:val="000000" w:themeColor="text1"/>
          <w:lang w:val="en-GB"/>
        </w:rPr>
        <w:t xml:space="preserve">are in fact at the basis of the toolkit made of direct payments, personal budgets and vouchers that will be analysed in this project. </w:t>
      </w:r>
    </w:p>
    <w:p w14:paraId="015183A3" w14:textId="77777777" w:rsidR="000B1906" w:rsidRPr="005F6C5F" w:rsidRDefault="000B1906" w:rsidP="00393E33">
      <w:pPr>
        <w:spacing w:after="120" w:line="360" w:lineRule="auto"/>
        <w:jc w:val="both"/>
        <w:rPr>
          <w:rFonts w:ascii="Calibri" w:hAnsi="Calibri" w:cs="Arimo"/>
          <w:color w:val="000000" w:themeColor="text1"/>
          <w:lang w:val="en-GB"/>
        </w:rPr>
      </w:pPr>
    </w:p>
    <w:p w14:paraId="351ECEE1" w14:textId="41AC219F" w:rsidR="00404B45" w:rsidRPr="005F6C5F" w:rsidRDefault="00404B45" w:rsidP="00393E33">
      <w:pPr>
        <w:spacing w:after="120" w:line="360" w:lineRule="auto"/>
        <w:jc w:val="both"/>
        <w:rPr>
          <w:rFonts w:ascii="Calibri" w:hAnsi="Calibri" w:cs="Arimo"/>
          <w:b/>
          <w:color w:val="000000" w:themeColor="text1"/>
          <w:lang w:val="en-GB"/>
        </w:rPr>
      </w:pPr>
      <w:r w:rsidRPr="005F6C5F">
        <w:rPr>
          <w:rFonts w:ascii="Calibri" w:hAnsi="Calibri" w:cs="Arimo"/>
          <w:b/>
          <w:color w:val="000000" w:themeColor="text1"/>
          <w:lang w:val="en-GB"/>
        </w:rPr>
        <w:t xml:space="preserve">Current state of research </w:t>
      </w:r>
    </w:p>
    <w:p w14:paraId="1673748D" w14:textId="028EA288" w:rsidR="005D25AD" w:rsidRPr="005F6C5F" w:rsidRDefault="003277E1" w:rsidP="00393E33">
      <w:pPr>
        <w:spacing w:after="120" w:line="360" w:lineRule="auto"/>
        <w:jc w:val="both"/>
        <w:rPr>
          <w:rFonts w:ascii="Calibri" w:hAnsi="Calibri" w:cs="Arimo"/>
          <w:color w:val="000000" w:themeColor="text1"/>
          <w:lang w:val="en-GB"/>
        </w:rPr>
      </w:pPr>
      <w:r w:rsidRPr="005F6C5F">
        <w:rPr>
          <w:rFonts w:ascii="Calibri" w:hAnsi="Calibri" w:cs="Arimo"/>
          <w:color w:val="000000" w:themeColor="text1"/>
          <w:lang w:val="en-GB"/>
        </w:rPr>
        <w:t xml:space="preserve">Choice agendas in the context of care services for disabled people have been widely researched. In the British case, the literature </w:t>
      </w:r>
      <w:r w:rsidR="00250A8A" w:rsidRPr="005F6C5F">
        <w:rPr>
          <w:rFonts w:ascii="Calibri" w:hAnsi="Calibri" w:cs="Arimo"/>
          <w:color w:val="000000" w:themeColor="text1"/>
          <w:lang w:val="en-GB"/>
        </w:rPr>
        <w:t xml:space="preserve">on the topic </w:t>
      </w:r>
      <w:r w:rsidRPr="005F6C5F">
        <w:rPr>
          <w:rFonts w:ascii="Calibri" w:hAnsi="Calibri" w:cs="Arimo"/>
          <w:color w:val="000000" w:themeColor="text1"/>
          <w:lang w:val="en-GB"/>
        </w:rPr>
        <w:t xml:space="preserve">is </w:t>
      </w:r>
      <w:r w:rsidR="00C31C2F" w:rsidRPr="005F6C5F">
        <w:rPr>
          <w:rFonts w:ascii="Calibri" w:hAnsi="Calibri" w:cs="Arimo"/>
          <w:color w:val="000000" w:themeColor="text1"/>
          <w:lang w:val="en-GB"/>
        </w:rPr>
        <w:t xml:space="preserve">considerable and works such as </w:t>
      </w:r>
      <w:r w:rsidR="00C31C2F" w:rsidRPr="005F6C5F">
        <w:rPr>
          <w:rFonts w:ascii="Calibri" w:hAnsi="Calibri" w:cs="Arimo"/>
          <w:i/>
          <w:color w:val="000000" w:themeColor="text1"/>
          <w:lang w:val="en-GB"/>
        </w:rPr>
        <w:t>Debates in personalisation</w:t>
      </w:r>
      <w:r w:rsidR="00C31C2F" w:rsidRPr="005F6C5F">
        <w:rPr>
          <w:rFonts w:ascii="Calibri" w:hAnsi="Calibri" w:cs="Arimo"/>
          <w:color w:val="000000" w:themeColor="text1"/>
          <w:lang w:val="en-GB"/>
        </w:rPr>
        <w:t xml:space="preserve"> (Needham and Glasby 2014) and </w:t>
      </w:r>
      <w:r w:rsidR="00C31C2F" w:rsidRPr="005F6C5F">
        <w:rPr>
          <w:rFonts w:ascii="Calibri" w:hAnsi="Calibri" w:cs="Arimo"/>
          <w:i/>
          <w:color w:val="000000" w:themeColor="text1"/>
          <w:lang w:val="en-GB"/>
        </w:rPr>
        <w:t>Personalising public services: understanding the personalisation narrative</w:t>
      </w:r>
      <w:r w:rsidR="00C31C2F" w:rsidRPr="005F6C5F">
        <w:rPr>
          <w:rFonts w:ascii="Calibri" w:hAnsi="Calibri" w:cs="Arimo"/>
          <w:color w:val="000000" w:themeColor="text1"/>
          <w:lang w:val="en-GB"/>
        </w:rPr>
        <w:t xml:space="preserve"> (Needham 2011)</w:t>
      </w:r>
      <w:r w:rsidR="00000584" w:rsidRPr="005F6C5F">
        <w:rPr>
          <w:rFonts w:ascii="Calibri" w:hAnsi="Calibri" w:cs="Arimo"/>
          <w:color w:val="000000" w:themeColor="text1"/>
          <w:lang w:val="en-GB"/>
        </w:rPr>
        <w:t xml:space="preserve"> well summarise the </w:t>
      </w:r>
      <w:r w:rsidR="00B8178F" w:rsidRPr="005F6C5F">
        <w:rPr>
          <w:rFonts w:ascii="Calibri" w:hAnsi="Calibri" w:cs="Arimo"/>
          <w:color w:val="000000" w:themeColor="text1"/>
          <w:lang w:val="en-GB"/>
        </w:rPr>
        <w:t xml:space="preserve">debates around personalisation and, </w:t>
      </w:r>
      <w:r w:rsidR="00140C11" w:rsidRPr="005F6C5F">
        <w:rPr>
          <w:rFonts w:ascii="Calibri" w:hAnsi="Calibri" w:cs="Arimo"/>
          <w:color w:val="000000" w:themeColor="text1"/>
          <w:lang w:val="en-GB"/>
        </w:rPr>
        <w:t>as part of this</w:t>
      </w:r>
      <w:r w:rsidR="00B8178F" w:rsidRPr="005F6C5F">
        <w:rPr>
          <w:rFonts w:ascii="Calibri" w:hAnsi="Calibri" w:cs="Arimo"/>
          <w:color w:val="000000" w:themeColor="text1"/>
          <w:lang w:val="en-GB"/>
        </w:rPr>
        <w:t>, ab</w:t>
      </w:r>
      <w:r w:rsidR="00145223" w:rsidRPr="005F6C5F">
        <w:rPr>
          <w:rFonts w:ascii="Calibri" w:hAnsi="Calibri" w:cs="Arimo"/>
          <w:color w:val="000000" w:themeColor="text1"/>
          <w:lang w:val="en-GB"/>
        </w:rPr>
        <w:t>o</w:t>
      </w:r>
      <w:r w:rsidR="00B8178F" w:rsidRPr="005F6C5F">
        <w:rPr>
          <w:rFonts w:ascii="Calibri" w:hAnsi="Calibri" w:cs="Arimo"/>
          <w:color w:val="000000" w:themeColor="text1"/>
          <w:lang w:val="en-GB"/>
        </w:rPr>
        <w:t>ut choice as</w:t>
      </w:r>
      <w:r w:rsidR="004F6566" w:rsidRPr="005F6C5F">
        <w:rPr>
          <w:rFonts w:ascii="Calibri" w:hAnsi="Calibri" w:cs="Arimo"/>
          <w:color w:val="000000" w:themeColor="text1"/>
          <w:lang w:val="en-GB"/>
        </w:rPr>
        <w:t xml:space="preserve"> </w:t>
      </w:r>
      <w:r w:rsidR="00140C11" w:rsidRPr="005F6C5F">
        <w:rPr>
          <w:rFonts w:ascii="Calibri" w:hAnsi="Calibri" w:cs="Arimo"/>
          <w:color w:val="000000" w:themeColor="text1"/>
          <w:lang w:val="en-GB"/>
        </w:rPr>
        <w:t xml:space="preserve">one of </w:t>
      </w:r>
      <w:r w:rsidR="004F6566" w:rsidRPr="005F6C5F">
        <w:rPr>
          <w:rFonts w:ascii="Calibri" w:hAnsi="Calibri" w:cs="Arimo"/>
          <w:color w:val="000000" w:themeColor="text1"/>
          <w:lang w:val="en-GB"/>
        </w:rPr>
        <w:t>its ke</w:t>
      </w:r>
      <w:r w:rsidR="00B8178F" w:rsidRPr="005F6C5F">
        <w:rPr>
          <w:rFonts w:ascii="Calibri" w:hAnsi="Calibri" w:cs="Arimo"/>
          <w:color w:val="000000" w:themeColor="text1"/>
          <w:lang w:val="en-GB"/>
        </w:rPr>
        <w:t xml:space="preserve">y </w:t>
      </w:r>
      <w:r w:rsidR="00E10836" w:rsidRPr="005F6C5F">
        <w:rPr>
          <w:rFonts w:ascii="Calibri" w:hAnsi="Calibri" w:cs="Arimo"/>
          <w:color w:val="000000" w:themeColor="text1"/>
          <w:lang w:val="en-GB"/>
        </w:rPr>
        <w:t xml:space="preserve">underpinning </w:t>
      </w:r>
      <w:r w:rsidR="00B8178F" w:rsidRPr="005F6C5F">
        <w:rPr>
          <w:rFonts w:ascii="Calibri" w:hAnsi="Calibri" w:cs="Arimo"/>
          <w:color w:val="000000" w:themeColor="text1"/>
          <w:lang w:val="en-GB"/>
        </w:rPr>
        <w:t>element</w:t>
      </w:r>
      <w:r w:rsidR="00140C11" w:rsidRPr="005F6C5F">
        <w:rPr>
          <w:rFonts w:ascii="Calibri" w:hAnsi="Calibri" w:cs="Arimo"/>
          <w:color w:val="000000" w:themeColor="text1"/>
          <w:lang w:val="en-GB"/>
        </w:rPr>
        <w:t>s</w:t>
      </w:r>
      <w:r w:rsidR="00B8178F" w:rsidRPr="005F6C5F">
        <w:rPr>
          <w:rFonts w:ascii="Calibri" w:hAnsi="Calibri" w:cs="Arimo"/>
          <w:color w:val="000000" w:themeColor="text1"/>
          <w:lang w:val="en-GB"/>
        </w:rPr>
        <w:t xml:space="preserve">. Glasby and </w:t>
      </w:r>
      <w:proofErr w:type="spellStart"/>
      <w:r w:rsidR="00B8178F" w:rsidRPr="005F6C5F">
        <w:rPr>
          <w:rFonts w:ascii="Calibri" w:hAnsi="Calibri" w:cs="Arimo"/>
          <w:color w:val="000000" w:themeColor="text1"/>
          <w:lang w:val="en-GB"/>
        </w:rPr>
        <w:t>Littechild</w:t>
      </w:r>
      <w:proofErr w:type="spellEnd"/>
      <w:r w:rsidR="00B8178F" w:rsidRPr="005F6C5F">
        <w:rPr>
          <w:rFonts w:ascii="Calibri" w:hAnsi="Calibri" w:cs="Arimo"/>
          <w:color w:val="000000" w:themeColor="text1"/>
          <w:lang w:val="en-GB"/>
        </w:rPr>
        <w:t xml:space="preserve"> (2016) </w:t>
      </w:r>
      <w:r w:rsidR="00145223" w:rsidRPr="005F6C5F">
        <w:rPr>
          <w:rFonts w:ascii="Calibri" w:hAnsi="Calibri" w:cs="Arimo"/>
          <w:color w:val="000000" w:themeColor="text1"/>
          <w:lang w:val="en-GB"/>
        </w:rPr>
        <w:t xml:space="preserve">provide instead a thorough summary of the most relevant research studies on direct payments and personal budgets. Most of these studies are dedicated to the analysis of what works and what doesn’t, for whom, under what conditions and on measuring outcomes. </w:t>
      </w:r>
      <w:r w:rsidR="0060704D" w:rsidRPr="005F6C5F">
        <w:rPr>
          <w:rFonts w:ascii="Calibri" w:hAnsi="Calibri" w:cs="Arimo"/>
          <w:color w:val="000000" w:themeColor="text1"/>
          <w:lang w:val="en-GB"/>
        </w:rPr>
        <w:t>It is beyond the scope of this paper to provide a detailed analysis of current literature on direct payments</w:t>
      </w:r>
      <w:r w:rsidR="005D25AD" w:rsidRPr="005F6C5F">
        <w:rPr>
          <w:rFonts w:ascii="Calibri" w:hAnsi="Calibri" w:cs="Arimo"/>
          <w:color w:val="000000" w:themeColor="text1"/>
          <w:lang w:val="en-GB"/>
        </w:rPr>
        <w:t xml:space="preserve">, </w:t>
      </w:r>
      <w:r w:rsidR="0060704D" w:rsidRPr="005F6C5F">
        <w:rPr>
          <w:rFonts w:ascii="Calibri" w:hAnsi="Calibri" w:cs="Arimo"/>
          <w:color w:val="000000" w:themeColor="text1"/>
          <w:lang w:val="en-GB"/>
        </w:rPr>
        <w:t xml:space="preserve">personal budgets </w:t>
      </w:r>
      <w:r w:rsidR="005D25AD" w:rsidRPr="005F6C5F">
        <w:rPr>
          <w:rFonts w:ascii="Calibri" w:hAnsi="Calibri" w:cs="Arimo"/>
          <w:color w:val="000000" w:themeColor="text1"/>
          <w:lang w:val="en-GB"/>
        </w:rPr>
        <w:t>and/</w:t>
      </w:r>
      <w:r w:rsidR="0060704D" w:rsidRPr="005F6C5F">
        <w:rPr>
          <w:rFonts w:ascii="Calibri" w:hAnsi="Calibri" w:cs="Arimo"/>
          <w:color w:val="000000" w:themeColor="text1"/>
          <w:lang w:val="en-GB"/>
        </w:rPr>
        <w:t xml:space="preserve">or personalisation. </w:t>
      </w:r>
      <w:r w:rsidR="005D25AD" w:rsidRPr="005F6C5F">
        <w:rPr>
          <w:rFonts w:ascii="Calibri" w:hAnsi="Calibri" w:cs="Arimo"/>
          <w:color w:val="000000" w:themeColor="text1"/>
          <w:lang w:val="en-GB"/>
        </w:rPr>
        <w:t xml:space="preserve">What I would like to highlight, however, is that personalisation has big supporters </w:t>
      </w:r>
      <w:bookmarkStart w:id="3" w:name="_Hlk10211215"/>
      <w:r w:rsidR="005D25AD" w:rsidRPr="005F6C5F">
        <w:rPr>
          <w:rFonts w:ascii="Calibri" w:hAnsi="Calibri" w:cs="Arimo"/>
          <w:color w:val="000000" w:themeColor="text1"/>
          <w:lang w:val="en-GB"/>
        </w:rPr>
        <w:t>(</w:t>
      </w:r>
      <w:r w:rsidR="00C271F0" w:rsidRPr="005F6C5F">
        <w:rPr>
          <w:rFonts w:ascii="Calibri" w:hAnsi="Calibri" w:cs="Arimo"/>
          <w:color w:val="000000" w:themeColor="text1"/>
          <w:lang w:val="en-GB"/>
        </w:rPr>
        <w:t xml:space="preserve">Leadbeater 2004, Pool et al. 2006, Hatton et al. 2008, Duffy 2010, Tyson et al. 2010) </w:t>
      </w:r>
      <w:bookmarkEnd w:id="3"/>
      <w:r w:rsidR="005D25AD" w:rsidRPr="005F6C5F">
        <w:rPr>
          <w:rFonts w:ascii="Calibri" w:hAnsi="Calibri" w:cs="Arimo"/>
          <w:color w:val="000000" w:themeColor="text1"/>
          <w:lang w:val="en-GB"/>
        </w:rPr>
        <w:t>but also big critics</w:t>
      </w:r>
      <w:r w:rsidR="00C271F0" w:rsidRPr="005F6C5F">
        <w:rPr>
          <w:rFonts w:ascii="Calibri" w:hAnsi="Calibri" w:cs="Arimo"/>
          <w:color w:val="000000" w:themeColor="text1"/>
          <w:lang w:val="en-GB"/>
        </w:rPr>
        <w:t xml:space="preserve"> (Beresford 2014, </w:t>
      </w:r>
      <w:proofErr w:type="spellStart"/>
      <w:r w:rsidR="00C271F0" w:rsidRPr="005F6C5F">
        <w:rPr>
          <w:rFonts w:ascii="Calibri" w:hAnsi="Calibri" w:cs="Arimo"/>
          <w:color w:val="000000" w:themeColor="text1"/>
          <w:lang w:val="en-GB"/>
        </w:rPr>
        <w:t>Slasberg</w:t>
      </w:r>
      <w:proofErr w:type="spellEnd"/>
      <w:r w:rsidR="00C271F0" w:rsidRPr="005F6C5F">
        <w:rPr>
          <w:rFonts w:ascii="Calibri" w:hAnsi="Calibri" w:cs="Arimo"/>
          <w:color w:val="000000" w:themeColor="text1"/>
          <w:lang w:val="en-GB"/>
        </w:rPr>
        <w:t xml:space="preserve"> and Beresford 2016)</w:t>
      </w:r>
      <w:r w:rsidR="005D25AD" w:rsidRPr="005F6C5F">
        <w:rPr>
          <w:rFonts w:ascii="Calibri" w:hAnsi="Calibri" w:cs="Arimo"/>
          <w:color w:val="000000" w:themeColor="text1"/>
          <w:lang w:val="en-GB"/>
        </w:rPr>
        <w:t xml:space="preserve">. The enthusiasm with which the government and its partners organisations have promoted personalisation has been seriously put into question by </w:t>
      </w:r>
      <w:r w:rsidR="00C271F0" w:rsidRPr="005F6C5F">
        <w:rPr>
          <w:rFonts w:ascii="Calibri" w:hAnsi="Calibri" w:cs="Arimo"/>
          <w:color w:val="000000" w:themeColor="text1"/>
          <w:lang w:val="en-GB"/>
        </w:rPr>
        <w:t xml:space="preserve">scarce and mixed results </w:t>
      </w:r>
      <w:r w:rsidR="008F2246" w:rsidRPr="005F6C5F">
        <w:rPr>
          <w:rFonts w:ascii="Calibri" w:hAnsi="Calibri" w:cs="Arimo"/>
          <w:color w:val="000000" w:themeColor="text1"/>
          <w:lang w:val="en-GB"/>
        </w:rPr>
        <w:t xml:space="preserve">(ADASS 2010, NAO 2016) </w:t>
      </w:r>
      <w:r w:rsidR="00C271F0" w:rsidRPr="005F6C5F">
        <w:rPr>
          <w:rFonts w:ascii="Calibri" w:hAnsi="Calibri" w:cs="Arimo"/>
          <w:color w:val="000000" w:themeColor="text1"/>
          <w:lang w:val="en-GB"/>
        </w:rPr>
        <w:t xml:space="preserve">regarding the success of DP and PB in delivering more person-centred care and in giving people choice and control. </w:t>
      </w:r>
      <w:r w:rsidR="00E10836" w:rsidRPr="005F6C5F">
        <w:rPr>
          <w:rFonts w:ascii="Calibri" w:hAnsi="Calibri" w:cs="Arimo"/>
          <w:color w:val="000000" w:themeColor="text1"/>
          <w:lang w:val="en-GB"/>
        </w:rPr>
        <w:t xml:space="preserve">Many </w:t>
      </w:r>
      <w:r w:rsidR="00C2017C" w:rsidRPr="005F6C5F">
        <w:rPr>
          <w:rFonts w:ascii="Calibri" w:hAnsi="Calibri" w:cs="Arimo"/>
          <w:color w:val="000000" w:themeColor="text1"/>
          <w:lang w:val="en-GB"/>
        </w:rPr>
        <w:t xml:space="preserve">sympathetic </w:t>
      </w:r>
      <w:r w:rsidR="00E10836" w:rsidRPr="005F6C5F">
        <w:rPr>
          <w:rFonts w:ascii="Calibri" w:hAnsi="Calibri" w:cs="Arimo"/>
          <w:color w:val="000000" w:themeColor="text1"/>
          <w:lang w:val="en-GB"/>
        </w:rPr>
        <w:t xml:space="preserve">analysts adopted, over the course of the years, a more cautious </w:t>
      </w:r>
      <w:r w:rsidR="00DD00B8" w:rsidRPr="005F6C5F">
        <w:rPr>
          <w:rFonts w:ascii="Calibri" w:hAnsi="Calibri" w:cs="Arimo"/>
          <w:color w:val="000000" w:themeColor="text1"/>
          <w:lang w:val="en-GB"/>
        </w:rPr>
        <w:t xml:space="preserve">positions regarding the potential of direct payments and personal budgets (Glasby and </w:t>
      </w:r>
      <w:proofErr w:type="spellStart"/>
      <w:r w:rsidR="00DD00B8" w:rsidRPr="005F6C5F">
        <w:rPr>
          <w:rFonts w:ascii="Calibri" w:hAnsi="Calibri" w:cs="Arimo"/>
          <w:color w:val="000000" w:themeColor="text1"/>
          <w:lang w:val="en-GB"/>
        </w:rPr>
        <w:t>Littelchild</w:t>
      </w:r>
      <w:proofErr w:type="spellEnd"/>
      <w:r w:rsidR="00DD00B8" w:rsidRPr="005F6C5F">
        <w:rPr>
          <w:rFonts w:ascii="Calibri" w:hAnsi="Calibri" w:cs="Arimo"/>
          <w:color w:val="000000" w:themeColor="text1"/>
          <w:lang w:val="en-GB"/>
        </w:rPr>
        <w:t xml:space="preserve"> 2016) and prominent </w:t>
      </w:r>
      <w:r w:rsidR="00C271F0" w:rsidRPr="005F6C5F">
        <w:rPr>
          <w:rFonts w:ascii="Calibri" w:hAnsi="Calibri" w:cs="Arimo"/>
          <w:color w:val="000000" w:themeColor="text1"/>
          <w:lang w:val="en-GB"/>
        </w:rPr>
        <w:t xml:space="preserve">disability activists in the UK have heavily criticised the government’s personalisation agenda </w:t>
      </w:r>
      <w:r w:rsidR="008F2246" w:rsidRPr="005F6C5F">
        <w:rPr>
          <w:rFonts w:ascii="Calibri" w:hAnsi="Calibri" w:cs="Arimo"/>
          <w:color w:val="000000" w:themeColor="text1"/>
          <w:lang w:val="en-GB"/>
        </w:rPr>
        <w:t>(</w:t>
      </w:r>
      <w:bookmarkStart w:id="4" w:name="_Hlk10211317"/>
      <w:proofErr w:type="spellStart"/>
      <w:r w:rsidR="008F2246" w:rsidRPr="005F6C5F">
        <w:rPr>
          <w:rFonts w:ascii="Calibri" w:hAnsi="Calibri" w:cs="Arimo"/>
          <w:color w:val="000000" w:themeColor="text1"/>
          <w:lang w:val="en-GB"/>
        </w:rPr>
        <w:t>Slasberg</w:t>
      </w:r>
      <w:proofErr w:type="spellEnd"/>
      <w:r w:rsidR="008F2246" w:rsidRPr="005F6C5F">
        <w:rPr>
          <w:rFonts w:ascii="Calibri" w:hAnsi="Calibri" w:cs="Arimo"/>
          <w:color w:val="000000" w:themeColor="text1"/>
          <w:lang w:val="en-GB"/>
        </w:rPr>
        <w:t xml:space="preserve"> and Beresford 2015) </w:t>
      </w:r>
      <w:bookmarkEnd w:id="4"/>
      <w:r w:rsidR="008F2246" w:rsidRPr="005F6C5F">
        <w:rPr>
          <w:rFonts w:ascii="Calibri" w:hAnsi="Calibri" w:cs="Arimo"/>
          <w:color w:val="000000" w:themeColor="text1"/>
          <w:lang w:val="en-GB"/>
        </w:rPr>
        <w:t xml:space="preserve">and also some of the literature produced in its support </w:t>
      </w:r>
      <w:bookmarkStart w:id="5" w:name="_Hlk10211323"/>
      <w:r w:rsidR="008F2246" w:rsidRPr="005F6C5F">
        <w:rPr>
          <w:rFonts w:ascii="Calibri" w:hAnsi="Calibri" w:cs="Arimo"/>
          <w:color w:val="000000" w:themeColor="text1"/>
          <w:lang w:val="en-GB"/>
        </w:rPr>
        <w:t>(</w:t>
      </w:r>
      <w:proofErr w:type="spellStart"/>
      <w:r w:rsidR="008F2246" w:rsidRPr="005F6C5F">
        <w:rPr>
          <w:rFonts w:ascii="Calibri" w:hAnsi="Calibri" w:cs="Arimo"/>
          <w:color w:val="000000" w:themeColor="text1"/>
          <w:lang w:val="en-GB"/>
        </w:rPr>
        <w:t>Slasberg</w:t>
      </w:r>
      <w:proofErr w:type="spellEnd"/>
      <w:r w:rsidR="008F2246" w:rsidRPr="005F6C5F">
        <w:rPr>
          <w:rFonts w:ascii="Calibri" w:hAnsi="Calibri" w:cs="Arimo"/>
          <w:color w:val="000000" w:themeColor="text1"/>
          <w:lang w:val="en-GB"/>
        </w:rPr>
        <w:t xml:space="preserve"> et al. 2013). </w:t>
      </w:r>
      <w:bookmarkEnd w:id="5"/>
    </w:p>
    <w:p w14:paraId="798E35ED" w14:textId="0A792C0E" w:rsidR="00AE63A1" w:rsidRPr="005F6C5F" w:rsidRDefault="00AE63A1" w:rsidP="00393E33">
      <w:pPr>
        <w:spacing w:after="120" w:line="360" w:lineRule="auto"/>
        <w:jc w:val="both"/>
        <w:rPr>
          <w:rFonts w:ascii="Calibri" w:hAnsi="Calibri" w:cs="Arimo"/>
          <w:color w:val="000000" w:themeColor="text1"/>
          <w:lang w:val="en-GB"/>
        </w:rPr>
      </w:pPr>
      <w:r w:rsidRPr="005F6C5F">
        <w:rPr>
          <w:rFonts w:ascii="Calibri" w:hAnsi="Calibri" w:cs="Arimo"/>
          <w:color w:val="000000" w:themeColor="text1"/>
          <w:lang w:val="en-GB"/>
        </w:rPr>
        <w:t xml:space="preserve">Regarding the Lombardian case, Gori (2005, 2010) </w:t>
      </w:r>
      <w:r w:rsidR="00480EB6" w:rsidRPr="005F6C5F">
        <w:rPr>
          <w:rFonts w:ascii="Calibri" w:hAnsi="Calibri" w:cs="Arimo"/>
          <w:color w:val="000000" w:themeColor="text1"/>
          <w:lang w:val="en-GB"/>
        </w:rPr>
        <w:t>offer</w:t>
      </w:r>
      <w:r w:rsidRPr="005F6C5F">
        <w:rPr>
          <w:rFonts w:ascii="Calibri" w:hAnsi="Calibri" w:cs="Arimo"/>
          <w:color w:val="000000" w:themeColor="text1"/>
          <w:lang w:val="en-GB"/>
        </w:rPr>
        <w:t xml:space="preserve">s a thorough analysis of regional policy making over the decade between 2000 and 2010, including a debate on choice as the ideological driver of the Lombardian social policy reforms over this period. </w:t>
      </w:r>
      <w:proofErr w:type="spellStart"/>
      <w:r w:rsidRPr="005F6C5F">
        <w:rPr>
          <w:rFonts w:ascii="Calibri" w:hAnsi="Calibri" w:cs="Arimo"/>
          <w:color w:val="000000" w:themeColor="text1"/>
          <w:lang w:val="en-GB"/>
        </w:rPr>
        <w:t>Pasquinelli</w:t>
      </w:r>
      <w:proofErr w:type="spellEnd"/>
      <w:r w:rsidRPr="005F6C5F">
        <w:rPr>
          <w:rFonts w:ascii="Calibri" w:hAnsi="Calibri" w:cs="Arimo"/>
          <w:color w:val="000000" w:themeColor="text1"/>
          <w:lang w:val="en-GB"/>
        </w:rPr>
        <w:t xml:space="preserve"> (2006) and </w:t>
      </w:r>
      <w:proofErr w:type="spellStart"/>
      <w:r w:rsidRPr="005F6C5F">
        <w:rPr>
          <w:rFonts w:ascii="Calibri" w:hAnsi="Calibri" w:cs="Arimo"/>
          <w:color w:val="000000" w:themeColor="text1"/>
          <w:lang w:val="en-GB"/>
        </w:rPr>
        <w:t>Giunco</w:t>
      </w:r>
      <w:proofErr w:type="spellEnd"/>
      <w:r w:rsidRPr="005F6C5F">
        <w:rPr>
          <w:rFonts w:ascii="Calibri" w:hAnsi="Calibri" w:cs="Arimo"/>
          <w:color w:val="000000" w:themeColor="text1"/>
          <w:lang w:val="en-GB"/>
        </w:rPr>
        <w:t xml:space="preserve"> (2008) provide instead evidence regarding the implementation of, respectively, social vouchers and socio-medical vouchers</w:t>
      </w:r>
      <w:r w:rsidR="0046696E" w:rsidRPr="005F6C5F">
        <w:rPr>
          <w:rFonts w:ascii="Calibri" w:hAnsi="Calibri" w:cs="Arimo"/>
          <w:color w:val="000000" w:themeColor="text1"/>
          <w:lang w:val="en-GB"/>
        </w:rPr>
        <w:t xml:space="preserve"> in the region. </w:t>
      </w:r>
      <w:r w:rsidR="007A36DF" w:rsidRPr="005F6C5F">
        <w:rPr>
          <w:rFonts w:ascii="Calibri" w:hAnsi="Calibri" w:cs="Arimo"/>
          <w:color w:val="000000" w:themeColor="text1"/>
          <w:lang w:val="en-GB"/>
        </w:rPr>
        <w:t>Their overall conclusion is that, in both cases,</w:t>
      </w:r>
      <w:r w:rsidR="00040E87" w:rsidRPr="005F6C5F">
        <w:rPr>
          <w:rFonts w:ascii="Calibri" w:hAnsi="Calibri" w:cs="Arimo"/>
          <w:color w:val="000000" w:themeColor="text1"/>
          <w:lang w:val="en-GB"/>
        </w:rPr>
        <w:t xml:space="preserve"> these measures allowed for an expansion in terms of </w:t>
      </w:r>
      <w:r w:rsidR="00576EF4" w:rsidRPr="005F6C5F">
        <w:rPr>
          <w:rFonts w:ascii="Calibri" w:hAnsi="Calibri" w:cs="Arimo"/>
          <w:color w:val="000000" w:themeColor="text1"/>
          <w:lang w:val="en-GB"/>
        </w:rPr>
        <w:t xml:space="preserve">service </w:t>
      </w:r>
      <w:r w:rsidR="00040E87" w:rsidRPr="005F6C5F">
        <w:rPr>
          <w:rFonts w:ascii="Calibri" w:hAnsi="Calibri" w:cs="Arimo"/>
          <w:color w:val="000000" w:themeColor="text1"/>
          <w:lang w:val="en-GB"/>
        </w:rPr>
        <w:t>coverage</w:t>
      </w:r>
      <w:r w:rsidR="00576EF4" w:rsidRPr="005F6C5F">
        <w:rPr>
          <w:rFonts w:ascii="Calibri" w:hAnsi="Calibri" w:cs="Arimo"/>
          <w:color w:val="000000" w:themeColor="text1"/>
          <w:lang w:val="en-GB"/>
        </w:rPr>
        <w:t xml:space="preserve">, both in the sense of more services and more hours. </w:t>
      </w:r>
      <w:r w:rsidR="00F96168" w:rsidRPr="005F6C5F">
        <w:rPr>
          <w:rFonts w:ascii="Calibri" w:hAnsi="Calibri" w:cs="Arimo"/>
          <w:color w:val="000000" w:themeColor="text1"/>
          <w:lang w:val="en-GB"/>
        </w:rPr>
        <w:t>Dedicated</w:t>
      </w:r>
      <w:r w:rsidR="00040E87" w:rsidRPr="005F6C5F">
        <w:rPr>
          <w:rFonts w:ascii="Calibri" w:hAnsi="Calibri" w:cs="Arimo"/>
          <w:color w:val="000000" w:themeColor="text1"/>
          <w:lang w:val="en-GB"/>
        </w:rPr>
        <w:t xml:space="preserve"> resources </w:t>
      </w:r>
      <w:r w:rsidR="00576EF4" w:rsidRPr="005F6C5F">
        <w:rPr>
          <w:rFonts w:ascii="Calibri" w:hAnsi="Calibri" w:cs="Arimo"/>
          <w:color w:val="000000" w:themeColor="text1"/>
          <w:lang w:val="en-GB"/>
        </w:rPr>
        <w:t xml:space="preserve">have indeed been </w:t>
      </w:r>
      <w:r w:rsidR="00480EB6" w:rsidRPr="005F6C5F">
        <w:rPr>
          <w:rFonts w:ascii="Calibri" w:hAnsi="Calibri" w:cs="Arimo"/>
          <w:color w:val="000000" w:themeColor="text1"/>
          <w:lang w:val="en-GB"/>
        </w:rPr>
        <w:lastRenderedPageBreak/>
        <w:t xml:space="preserve">allocated </w:t>
      </w:r>
      <w:r w:rsidR="00576EF4" w:rsidRPr="005F6C5F">
        <w:rPr>
          <w:rFonts w:ascii="Calibri" w:hAnsi="Calibri" w:cs="Arimo"/>
          <w:color w:val="000000" w:themeColor="text1"/>
          <w:lang w:val="en-GB"/>
        </w:rPr>
        <w:t>to the</w:t>
      </w:r>
      <w:r w:rsidR="00480EB6" w:rsidRPr="005F6C5F">
        <w:rPr>
          <w:rFonts w:ascii="Calibri" w:hAnsi="Calibri" w:cs="Arimo"/>
          <w:color w:val="000000" w:themeColor="text1"/>
          <w:lang w:val="en-GB"/>
        </w:rPr>
        <w:t xml:space="preserve"> introduction</w:t>
      </w:r>
      <w:r w:rsidR="00576EF4" w:rsidRPr="005F6C5F">
        <w:rPr>
          <w:rFonts w:ascii="Calibri" w:hAnsi="Calibri" w:cs="Arimo"/>
          <w:color w:val="000000" w:themeColor="text1"/>
          <w:lang w:val="en-GB"/>
        </w:rPr>
        <w:t xml:space="preserve"> of vouchers</w:t>
      </w:r>
      <w:r w:rsidR="00F96168" w:rsidRPr="005F6C5F">
        <w:rPr>
          <w:rFonts w:ascii="Calibri" w:hAnsi="Calibri" w:cs="Arimo"/>
          <w:color w:val="000000" w:themeColor="text1"/>
          <w:lang w:val="en-GB"/>
        </w:rPr>
        <w:t xml:space="preserve"> in social and health care services in Lombardy</w:t>
      </w:r>
      <w:r w:rsidR="00480EB6" w:rsidRPr="005F6C5F">
        <w:rPr>
          <w:rFonts w:ascii="Calibri" w:hAnsi="Calibri" w:cs="Arimo"/>
          <w:color w:val="000000" w:themeColor="text1"/>
          <w:lang w:val="en-GB"/>
        </w:rPr>
        <w:t xml:space="preserve">. </w:t>
      </w:r>
      <w:r w:rsidR="00576EF4" w:rsidRPr="005F6C5F">
        <w:rPr>
          <w:rFonts w:ascii="Calibri" w:hAnsi="Calibri" w:cs="Arimo"/>
          <w:color w:val="000000" w:themeColor="text1"/>
          <w:lang w:val="en-GB"/>
        </w:rPr>
        <w:t xml:space="preserve">However, </w:t>
      </w:r>
      <w:r w:rsidR="00F96168" w:rsidRPr="005F6C5F">
        <w:rPr>
          <w:rFonts w:ascii="Calibri" w:hAnsi="Calibri" w:cs="Arimo"/>
          <w:color w:val="000000" w:themeColor="text1"/>
          <w:lang w:val="en-GB"/>
        </w:rPr>
        <w:t>within such expansion</w:t>
      </w:r>
      <w:r w:rsidR="00576EF4" w:rsidRPr="005F6C5F">
        <w:rPr>
          <w:rFonts w:ascii="Calibri" w:hAnsi="Calibri" w:cs="Arimo"/>
          <w:color w:val="000000" w:themeColor="text1"/>
          <w:lang w:val="en-GB"/>
        </w:rPr>
        <w:t xml:space="preserve">, </w:t>
      </w:r>
      <w:r w:rsidR="00040E87" w:rsidRPr="005F6C5F">
        <w:rPr>
          <w:rFonts w:ascii="Calibri" w:hAnsi="Calibri" w:cs="Arimo"/>
          <w:color w:val="000000" w:themeColor="text1"/>
          <w:lang w:val="en-GB"/>
        </w:rPr>
        <w:t xml:space="preserve">freedom of choice has often felt to be limited, sometimes inevitable and in some cases perceived as a burden. </w:t>
      </w:r>
      <w:r w:rsidR="00480EB6" w:rsidRPr="005F6C5F">
        <w:rPr>
          <w:rFonts w:ascii="Calibri" w:hAnsi="Calibri" w:cs="Arimo"/>
          <w:color w:val="000000" w:themeColor="text1"/>
          <w:lang w:val="en-GB"/>
        </w:rPr>
        <w:t xml:space="preserve">Monteleone (2005) and </w:t>
      </w:r>
      <w:proofErr w:type="spellStart"/>
      <w:r w:rsidR="00480EB6" w:rsidRPr="005F6C5F">
        <w:rPr>
          <w:rFonts w:ascii="Calibri" w:hAnsi="Calibri" w:cs="Arimo"/>
          <w:color w:val="000000" w:themeColor="text1"/>
          <w:lang w:val="en-GB"/>
        </w:rPr>
        <w:t>Bifulco</w:t>
      </w:r>
      <w:proofErr w:type="spellEnd"/>
      <w:r w:rsidR="00480EB6" w:rsidRPr="005F6C5F">
        <w:rPr>
          <w:rFonts w:ascii="Calibri" w:hAnsi="Calibri" w:cs="Arimo"/>
          <w:color w:val="000000" w:themeColor="text1"/>
          <w:lang w:val="en-GB"/>
        </w:rPr>
        <w:t xml:space="preserve"> (2011) have pointed at </w:t>
      </w:r>
      <w:r w:rsidR="00576EF4" w:rsidRPr="005F6C5F">
        <w:rPr>
          <w:rFonts w:ascii="Calibri" w:hAnsi="Calibri" w:cs="Arimo"/>
          <w:color w:val="000000" w:themeColor="text1"/>
          <w:lang w:val="en-GB"/>
        </w:rPr>
        <w:t xml:space="preserve">how </w:t>
      </w:r>
      <w:r w:rsidR="00480EB6" w:rsidRPr="005F6C5F">
        <w:rPr>
          <w:rFonts w:ascii="Calibri" w:hAnsi="Calibri" w:cs="Arimo"/>
          <w:color w:val="000000" w:themeColor="text1"/>
          <w:lang w:val="en-GB"/>
        </w:rPr>
        <w:t>markets’ perverse incentives</w:t>
      </w:r>
      <w:r w:rsidR="00140C11" w:rsidRPr="005F6C5F">
        <w:rPr>
          <w:rFonts w:ascii="Calibri" w:hAnsi="Calibri" w:cs="Arimo"/>
          <w:color w:val="000000" w:themeColor="text1"/>
          <w:lang w:val="en-GB"/>
        </w:rPr>
        <w:t xml:space="preserve"> and</w:t>
      </w:r>
      <w:r w:rsidR="00F96168" w:rsidRPr="005F6C5F">
        <w:rPr>
          <w:rFonts w:ascii="Calibri" w:hAnsi="Calibri" w:cs="Arimo"/>
          <w:color w:val="000000" w:themeColor="text1"/>
          <w:lang w:val="en-GB"/>
        </w:rPr>
        <w:t xml:space="preserve"> users/</w:t>
      </w:r>
      <w:r w:rsidR="00480EB6" w:rsidRPr="005F6C5F">
        <w:rPr>
          <w:rFonts w:ascii="Calibri" w:hAnsi="Calibri" w:cs="Arimo"/>
          <w:color w:val="000000" w:themeColor="text1"/>
          <w:lang w:val="en-GB"/>
        </w:rPr>
        <w:t xml:space="preserve">providers </w:t>
      </w:r>
      <w:r w:rsidR="00F96168" w:rsidRPr="005F6C5F">
        <w:rPr>
          <w:rFonts w:ascii="Calibri" w:hAnsi="Calibri" w:cs="Arimo"/>
          <w:color w:val="000000" w:themeColor="text1"/>
          <w:lang w:val="en-GB"/>
        </w:rPr>
        <w:t xml:space="preserve">behavioural and informational </w:t>
      </w:r>
      <w:r w:rsidR="00576EF4" w:rsidRPr="005F6C5F">
        <w:rPr>
          <w:rFonts w:ascii="Calibri" w:hAnsi="Calibri" w:cs="Arimo"/>
          <w:color w:val="000000" w:themeColor="text1"/>
          <w:lang w:val="en-GB"/>
        </w:rPr>
        <w:t xml:space="preserve">failures apply to the wave of </w:t>
      </w:r>
      <w:proofErr w:type="spellStart"/>
      <w:r w:rsidR="00576EF4" w:rsidRPr="005F6C5F">
        <w:rPr>
          <w:rFonts w:ascii="Calibri" w:hAnsi="Calibri" w:cs="Arimo"/>
          <w:i/>
          <w:color w:val="000000" w:themeColor="text1"/>
          <w:lang w:val="en-GB"/>
        </w:rPr>
        <w:t>voucherisation</w:t>
      </w:r>
      <w:proofErr w:type="spellEnd"/>
      <w:r w:rsidR="00576EF4" w:rsidRPr="005F6C5F">
        <w:rPr>
          <w:rFonts w:ascii="Calibri" w:hAnsi="Calibri" w:cs="Arimo"/>
          <w:color w:val="000000" w:themeColor="text1"/>
          <w:lang w:val="en-GB"/>
        </w:rPr>
        <w:t xml:space="preserve"> which invested the region of Lomba</w:t>
      </w:r>
      <w:r w:rsidR="00AC30E2" w:rsidRPr="005F6C5F">
        <w:rPr>
          <w:rFonts w:ascii="Calibri" w:hAnsi="Calibri" w:cs="Arimo"/>
          <w:color w:val="000000" w:themeColor="text1"/>
          <w:lang w:val="en-GB"/>
        </w:rPr>
        <w:t>r</w:t>
      </w:r>
      <w:r w:rsidR="00576EF4" w:rsidRPr="005F6C5F">
        <w:rPr>
          <w:rFonts w:ascii="Calibri" w:hAnsi="Calibri" w:cs="Arimo"/>
          <w:color w:val="000000" w:themeColor="text1"/>
          <w:lang w:val="en-GB"/>
        </w:rPr>
        <w:t>dy</w:t>
      </w:r>
      <w:r w:rsidR="00140C11" w:rsidRPr="005F6C5F">
        <w:rPr>
          <w:rFonts w:ascii="Calibri" w:hAnsi="Calibri" w:cs="Arimo"/>
          <w:color w:val="000000" w:themeColor="text1"/>
          <w:lang w:val="en-GB"/>
        </w:rPr>
        <w:t>, bringing</w:t>
      </w:r>
      <w:r w:rsidR="00576EF4" w:rsidRPr="005F6C5F">
        <w:rPr>
          <w:rFonts w:ascii="Calibri" w:hAnsi="Calibri" w:cs="Arimo"/>
          <w:color w:val="000000" w:themeColor="text1"/>
          <w:lang w:val="en-GB"/>
        </w:rPr>
        <w:t xml:space="preserve"> </w:t>
      </w:r>
      <w:r w:rsidR="00140C11" w:rsidRPr="005F6C5F">
        <w:rPr>
          <w:rFonts w:ascii="Calibri" w:hAnsi="Calibri" w:cs="Arimo"/>
          <w:color w:val="000000" w:themeColor="text1"/>
          <w:lang w:val="en-GB"/>
        </w:rPr>
        <w:t xml:space="preserve">many </w:t>
      </w:r>
      <w:r w:rsidR="00576EF4" w:rsidRPr="005F6C5F">
        <w:rPr>
          <w:rFonts w:ascii="Calibri" w:hAnsi="Calibri" w:cs="Arimo"/>
          <w:color w:val="000000" w:themeColor="text1"/>
          <w:lang w:val="en-GB"/>
        </w:rPr>
        <w:t xml:space="preserve">to question the potential of these measures in delivering more choice and control. </w:t>
      </w:r>
      <w:r w:rsidR="00EC2D56" w:rsidRPr="005F6C5F">
        <w:rPr>
          <w:rFonts w:ascii="Calibri" w:hAnsi="Calibri" w:cs="Arimo"/>
          <w:color w:val="000000" w:themeColor="text1"/>
          <w:lang w:val="en-GB"/>
        </w:rPr>
        <w:t>The voucher system – nevertheless – still underpins the provision of care services in the regio</w:t>
      </w:r>
      <w:r w:rsidR="002C078A" w:rsidRPr="005F6C5F">
        <w:rPr>
          <w:rFonts w:ascii="Calibri" w:hAnsi="Calibri" w:cs="Arimo"/>
          <w:color w:val="000000" w:themeColor="text1"/>
          <w:lang w:val="en-GB"/>
        </w:rPr>
        <w:t xml:space="preserve">n, </w:t>
      </w:r>
      <w:r w:rsidR="00140C11" w:rsidRPr="005F6C5F">
        <w:rPr>
          <w:rFonts w:ascii="Calibri" w:hAnsi="Calibri" w:cs="Arimo"/>
          <w:color w:val="000000" w:themeColor="text1"/>
          <w:lang w:val="en-GB"/>
        </w:rPr>
        <w:t xml:space="preserve">coexisting </w:t>
      </w:r>
      <w:r w:rsidR="002C078A" w:rsidRPr="005F6C5F">
        <w:rPr>
          <w:rFonts w:ascii="Calibri" w:hAnsi="Calibri" w:cs="Arimo"/>
          <w:color w:val="000000" w:themeColor="text1"/>
          <w:lang w:val="en-GB"/>
        </w:rPr>
        <w:t xml:space="preserve">with </w:t>
      </w:r>
      <w:r w:rsidR="00140C11" w:rsidRPr="005F6C5F">
        <w:rPr>
          <w:rFonts w:ascii="Calibri" w:hAnsi="Calibri" w:cs="Arimo"/>
          <w:color w:val="000000" w:themeColor="text1"/>
          <w:lang w:val="en-GB"/>
        </w:rPr>
        <w:t xml:space="preserve">more </w:t>
      </w:r>
      <w:r w:rsidR="002C078A" w:rsidRPr="005F6C5F">
        <w:rPr>
          <w:rFonts w:ascii="Calibri" w:hAnsi="Calibri" w:cs="Arimo"/>
          <w:color w:val="000000" w:themeColor="text1"/>
          <w:lang w:val="en-GB"/>
        </w:rPr>
        <w:t>recent policy trends which</w:t>
      </w:r>
      <w:r w:rsidR="00140C11" w:rsidRPr="005F6C5F">
        <w:rPr>
          <w:rFonts w:ascii="Calibri" w:hAnsi="Calibri" w:cs="Arimo"/>
          <w:color w:val="000000" w:themeColor="text1"/>
          <w:lang w:val="en-GB"/>
        </w:rPr>
        <w:t>,</w:t>
      </w:r>
      <w:r w:rsidR="002C078A" w:rsidRPr="005F6C5F">
        <w:rPr>
          <w:rFonts w:ascii="Calibri" w:hAnsi="Calibri" w:cs="Arimo"/>
          <w:color w:val="000000" w:themeColor="text1"/>
          <w:lang w:val="en-GB"/>
        </w:rPr>
        <w:t xml:space="preserve"> </w:t>
      </w:r>
      <w:r w:rsidR="00C2017C" w:rsidRPr="005F6C5F">
        <w:rPr>
          <w:rFonts w:ascii="Calibri" w:hAnsi="Calibri" w:cs="Arimo"/>
          <w:color w:val="000000" w:themeColor="text1"/>
          <w:lang w:val="en-GB"/>
        </w:rPr>
        <w:t xml:space="preserve">as already mentioned, </w:t>
      </w:r>
      <w:r w:rsidR="00140C11" w:rsidRPr="005F6C5F">
        <w:rPr>
          <w:rFonts w:ascii="Calibri" w:hAnsi="Calibri" w:cs="Arimo"/>
          <w:color w:val="000000" w:themeColor="text1"/>
          <w:lang w:val="en-GB"/>
        </w:rPr>
        <w:t xml:space="preserve">claim to </w:t>
      </w:r>
      <w:r w:rsidR="00371A28" w:rsidRPr="005F6C5F">
        <w:rPr>
          <w:rFonts w:ascii="Calibri" w:hAnsi="Calibri" w:cs="Arimo"/>
          <w:color w:val="000000" w:themeColor="text1"/>
          <w:lang w:val="en-GB"/>
        </w:rPr>
        <w:t xml:space="preserve">be informed by the logic of </w:t>
      </w:r>
      <w:r w:rsidR="004B1CDD" w:rsidRPr="005F6C5F">
        <w:rPr>
          <w:rFonts w:ascii="Calibri" w:hAnsi="Calibri" w:cs="Arimo"/>
          <w:color w:val="000000" w:themeColor="text1"/>
          <w:lang w:val="en-GB"/>
        </w:rPr>
        <w:t xml:space="preserve">‘care </w:t>
      </w:r>
      <w:r w:rsidR="00371A28" w:rsidRPr="005F6C5F">
        <w:rPr>
          <w:rFonts w:ascii="Calibri" w:hAnsi="Calibri" w:cs="Arimo"/>
          <w:color w:val="000000" w:themeColor="text1"/>
          <w:lang w:val="en-GB"/>
        </w:rPr>
        <w:t>budgets</w:t>
      </w:r>
      <w:r w:rsidR="004B1CDD" w:rsidRPr="005F6C5F">
        <w:rPr>
          <w:rFonts w:ascii="Calibri" w:hAnsi="Calibri" w:cs="Arimo"/>
          <w:color w:val="000000" w:themeColor="text1"/>
          <w:lang w:val="en-GB"/>
        </w:rPr>
        <w:t>’</w:t>
      </w:r>
      <w:r w:rsidR="00371A28" w:rsidRPr="005F6C5F">
        <w:rPr>
          <w:rFonts w:ascii="Calibri" w:hAnsi="Calibri" w:cs="Arimo"/>
          <w:color w:val="000000" w:themeColor="text1"/>
          <w:lang w:val="en-GB"/>
        </w:rPr>
        <w:t xml:space="preserve"> (</w:t>
      </w:r>
      <w:r w:rsidR="00371A28" w:rsidRPr="005F6C5F">
        <w:rPr>
          <w:rFonts w:ascii="Calibri" w:hAnsi="Calibri" w:cs="Arimo"/>
          <w:i/>
          <w:color w:val="000000" w:themeColor="text1"/>
          <w:lang w:val="en-GB"/>
        </w:rPr>
        <w:t xml:space="preserve">budget di </w:t>
      </w:r>
      <w:proofErr w:type="spellStart"/>
      <w:r w:rsidR="00371A28" w:rsidRPr="005F6C5F">
        <w:rPr>
          <w:rFonts w:ascii="Calibri" w:hAnsi="Calibri" w:cs="Arimo"/>
          <w:i/>
          <w:color w:val="000000" w:themeColor="text1"/>
          <w:lang w:val="en-GB"/>
        </w:rPr>
        <w:t>cura</w:t>
      </w:r>
      <w:proofErr w:type="spellEnd"/>
      <w:r w:rsidR="00371A28" w:rsidRPr="005F6C5F">
        <w:rPr>
          <w:rFonts w:ascii="Calibri" w:hAnsi="Calibri" w:cs="Arimo"/>
          <w:i/>
          <w:color w:val="000000" w:themeColor="text1"/>
          <w:lang w:val="en-GB"/>
        </w:rPr>
        <w:t xml:space="preserve"> e/o di </w:t>
      </w:r>
      <w:proofErr w:type="spellStart"/>
      <w:r w:rsidR="00371A28" w:rsidRPr="005F6C5F">
        <w:rPr>
          <w:rFonts w:ascii="Calibri" w:hAnsi="Calibri" w:cs="Arimo"/>
          <w:i/>
          <w:color w:val="000000" w:themeColor="text1"/>
          <w:lang w:val="en-GB"/>
        </w:rPr>
        <w:t>progetto</w:t>
      </w:r>
      <w:proofErr w:type="spellEnd"/>
      <w:r w:rsidR="00371A28" w:rsidRPr="005F6C5F">
        <w:rPr>
          <w:rFonts w:ascii="Calibri" w:hAnsi="Calibri" w:cs="Arimo"/>
          <w:color w:val="000000" w:themeColor="text1"/>
          <w:lang w:val="en-GB"/>
        </w:rPr>
        <w:t>)</w:t>
      </w:r>
      <w:r w:rsidR="00C2017C" w:rsidRPr="005F6C5F">
        <w:rPr>
          <w:rFonts w:ascii="Calibri" w:hAnsi="Calibri" w:cs="Arimo"/>
          <w:color w:val="000000" w:themeColor="text1"/>
          <w:lang w:val="en-GB"/>
        </w:rPr>
        <w:t>, at least in their intent.</w:t>
      </w:r>
    </w:p>
    <w:p w14:paraId="2A1BF6A6" w14:textId="7CEFCBBE" w:rsidR="004B1CDD" w:rsidRPr="005F6C5F" w:rsidRDefault="003C7077" w:rsidP="00393E33">
      <w:pPr>
        <w:spacing w:after="120" w:line="360" w:lineRule="auto"/>
        <w:jc w:val="both"/>
        <w:rPr>
          <w:rFonts w:ascii="Calibri" w:hAnsi="Calibri" w:cs="Arimo"/>
          <w:color w:val="000000" w:themeColor="text1"/>
          <w:lang w:val="en-GB"/>
        </w:rPr>
      </w:pPr>
      <w:r w:rsidRPr="005F6C5F">
        <w:rPr>
          <w:rFonts w:ascii="Calibri" w:hAnsi="Calibri" w:cs="Arimo"/>
          <w:color w:val="000000" w:themeColor="text1"/>
          <w:lang w:val="en-GB"/>
        </w:rPr>
        <w:t>What my project aims to add to existing literature is an analysis of choice agendas</w:t>
      </w:r>
      <w:r w:rsidR="0015581E" w:rsidRPr="005F6C5F">
        <w:rPr>
          <w:rFonts w:ascii="Calibri" w:hAnsi="Calibri" w:cs="Arimo"/>
          <w:color w:val="000000" w:themeColor="text1"/>
          <w:lang w:val="en-GB"/>
        </w:rPr>
        <w:t>’</w:t>
      </w:r>
      <w:r w:rsidRPr="005F6C5F">
        <w:rPr>
          <w:rFonts w:ascii="Calibri" w:hAnsi="Calibri" w:cs="Arimo"/>
          <w:color w:val="000000" w:themeColor="text1"/>
          <w:lang w:val="en-GB"/>
        </w:rPr>
        <w:t xml:space="preserve"> effects which </w:t>
      </w:r>
      <w:r w:rsidR="002F72D9" w:rsidRPr="005F6C5F">
        <w:rPr>
          <w:rFonts w:ascii="Calibri" w:hAnsi="Calibri" w:cs="Arimo"/>
          <w:color w:val="000000" w:themeColor="text1"/>
          <w:lang w:val="en-GB"/>
        </w:rPr>
        <w:t>goes beyond their evaluation in terms of outcomes measurements and implementation studies and which focuses instead o</w:t>
      </w:r>
      <w:r w:rsidR="0015581E" w:rsidRPr="005F6C5F">
        <w:rPr>
          <w:rFonts w:ascii="Calibri" w:hAnsi="Calibri" w:cs="Arimo"/>
          <w:color w:val="000000" w:themeColor="text1"/>
          <w:lang w:val="en-GB"/>
        </w:rPr>
        <w:t>n</w:t>
      </w:r>
      <w:r w:rsidR="002F72D9" w:rsidRPr="005F6C5F">
        <w:rPr>
          <w:rFonts w:ascii="Calibri" w:hAnsi="Calibri" w:cs="Arimo"/>
          <w:color w:val="000000" w:themeColor="text1"/>
          <w:lang w:val="en-GB"/>
        </w:rPr>
        <w:t xml:space="preserve"> the </w:t>
      </w:r>
      <w:r w:rsidR="00531A6D" w:rsidRPr="005F6C5F">
        <w:rPr>
          <w:rFonts w:ascii="Calibri" w:hAnsi="Calibri" w:cs="Arimo"/>
          <w:color w:val="000000" w:themeColor="text1"/>
          <w:lang w:val="en-GB"/>
        </w:rPr>
        <w:t xml:space="preserve">role of </w:t>
      </w:r>
      <w:r w:rsidR="002F72D9" w:rsidRPr="005F6C5F">
        <w:rPr>
          <w:rFonts w:ascii="Calibri" w:hAnsi="Calibri" w:cs="Arimo"/>
          <w:color w:val="000000" w:themeColor="text1"/>
          <w:lang w:val="en-GB"/>
        </w:rPr>
        <w:t xml:space="preserve">policy actors </w:t>
      </w:r>
      <w:r w:rsidR="00531A6D" w:rsidRPr="005F6C5F">
        <w:rPr>
          <w:rFonts w:ascii="Calibri" w:hAnsi="Calibri" w:cs="Arimo"/>
          <w:color w:val="000000" w:themeColor="text1"/>
          <w:lang w:val="en-GB"/>
        </w:rPr>
        <w:t xml:space="preserve">in determining or influencing policy effects. To this purpose, </w:t>
      </w:r>
      <w:r w:rsidR="005E3054" w:rsidRPr="005F6C5F">
        <w:rPr>
          <w:rFonts w:ascii="Calibri" w:hAnsi="Calibri" w:cs="Arimo"/>
          <w:color w:val="000000" w:themeColor="text1"/>
          <w:lang w:val="en-GB"/>
        </w:rPr>
        <w:t xml:space="preserve">I will follow choice agendas in their journey from policy into practice through the lenses of their actors. </w:t>
      </w:r>
      <w:r w:rsidR="0015581E" w:rsidRPr="005F6C5F">
        <w:rPr>
          <w:rFonts w:ascii="Calibri" w:hAnsi="Calibri" w:cs="Arimo"/>
          <w:color w:val="000000" w:themeColor="text1"/>
          <w:lang w:val="en-GB"/>
        </w:rPr>
        <w:t xml:space="preserve">The next paragraph provides a description of the theoretical framework which informed my research design. </w:t>
      </w:r>
    </w:p>
    <w:p w14:paraId="1668420B" w14:textId="77777777" w:rsidR="005F6C5F" w:rsidRPr="005F6C5F" w:rsidRDefault="005F6C5F" w:rsidP="00393E33">
      <w:pPr>
        <w:spacing w:after="120" w:line="360" w:lineRule="auto"/>
        <w:jc w:val="both"/>
        <w:rPr>
          <w:rFonts w:ascii="Calibri" w:hAnsi="Calibri" w:cs="Arimo"/>
          <w:color w:val="000000" w:themeColor="text1"/>
          <w:lang w:val="en-GB"/>
        </w:rPr>
      </w:pPr>
    </w:p>
    <w:p w14:paraId="6540AB12" w14:textId="77777777" w:rsidR="005F6C5F" w:rsidRPr="005F6C5F" w:rsidRDefault="00404B45" w:rsidP="00393E33">
      <w:pPr>
        <w:spacing w:after="120" w:line="360" w:lineRule="auto"/>
        <w:jc w:val="both"/>
        <w:rPr>
          <w:rFonts w:ascii="Calibri" w:hAnsi="Calibri" w:cs="Arimo"/>
          <w:b/>
          <w:color w:val="000000" w:themeColor="text1"/>
          <w:lang w:val="en-GB"/>
        </w:rPr>
      </w:pPr>
      <w:r w:rsidRPr="005F6C5F">
        <w:rPr>
          <w:rFonts w:ascii="Calibri" w:hAnsi="Calibri" w:cs="Arimo"/>
          <w:b/>
          <w:color w:val="000000" w:themeColor="text1"/>
          <w:lang w:val="en-GB"/>
        </w:rPr>
        <w:t xml:space="preserve">Theoretical framework </w:t>
      </w:r>
    </w:p>
    <w:p w14:paraId="0A8D4BF0" w14:textId="2CF022A8" w:rsidR="00404B45" w:rsidRPr="005F6C5F" w:rsidRDefault="00404B45" w:rsidP="00393E33">
      <w:pPr>
        <w:spacing w:after="120" w:line="360" w:lineRule="auto"/>
        <w:jc w:val="both"/>
        <w:rPr>
          <w:color w:val="000000" w:themeColor="text1"/>
          <w:lang w:val="en-GB"/>
        </w:rPr>
      </w:pPr>
      <w:r w:rsidRPr="005F6C5F">
        <w:rPr>
          <w:rFonts w:ascii="Calibri" w:hAnsi="Calibri" w:cs="Arimo"/>
          <w:color w:val="000000" w:themeColor="text1"/>
          <w:lang w:val="en-GB"/>
        </w:rPr>
        <w:t>The purpose of my analysis is that of following the trajectory of choice agendas as they translate from policies into practices and, by doing so, that of understanding their effects through the lenses of policy actors</w:t>
      </w:r>
      <w:r w:rsidR="006D1B3A">
        <w:rPr>
          <w:rFonts w:ascii="Calibri" w:hAnsi="Calibri" w:cs="Arimo"/>
          <w:color w:val="000000" w:themeColor="text1"/>
          <w:lang w:val="en-GB"/>
        </w:rPr>
        <w:t>.</w:t>
      </w:r>
      <w:r w:rsidRPr="005F6C5F">
        <w:rPr>
          <w:rFonts w:ascii="Calibri" w:hAnsi="Calibri" w:cs="Arimo"/>
          <w:color w:val="000000" w:themeColor="text1"/>
          <w:lang w:val="en-GB"/>
        </w:rPr>
        <w:t xml:space="preserve"> </w:t>
      </w:r>
      <w:r w:rsidRPr="005F6C5F">
        <w:rPr>
          <w:color w:val="000000" w:themeColor="text1"/>
          <w:lang w:val="en-GB"/>
        </w:rPr>
        <w:t>My main assumption in this project is indeed that</w:t>
      </w:r>
      <w:bookmarkStart w:id="6" w:name="_Hlk512502115"/>
      <w:r w:rsidRPr="005F6C5F">
        <w:rPr>
          <w:color w:val="000000" w:themeColor="text1"/>
          <w:lang w:val="en-GB"/>
        </w:rPr>
        <w:t xml:space="preserve"> the role of actors acting on and acted by specific policy ideas</w:t>
      </w:r>
      <w:r w:rsidR="00C2017C" w:rsidRPr="005F6C5F">
        <w:rPr>
          <w:color w:val="000000" w:themeColor="text1"/>
          <w:lang w:val="en-GB"/>
        </w:rPr>
        <w:t>,</w:t>
      </w:r>
      <w:r w:rsidRPr="005F6C5F">
        <w:rPr>
          <w:color w:val="000000" w:themeColor="text1"/>
          <w:lang w:val="en-GB"/>
        </w:rPr>
        <w:t xml:space="preserve"> and </w:t>
      </w:r>
      <w:r w:rsidR="00C2017C" w:rsidRPr="005F6C5F">
        <w:rPr>
          <w:color w:val="000000" w:themeColor="text1"/>
          <w:lang w:val="en-GB"/>
        </w:rPr>
        <w:t xml:space="preserve">their </w:t>
      </w:r>
      <w:r w:rsidRPr="005F6C5F">
        <w:rPr>
          <w:color w:val="000000" w:themeColor="text1"/>
          <w:lang w:val="en-GB"/>
        </w:rPr>
        <w:t>tools</w:t>
      </w:r>
      <w:r w:rsidR="00C2017C" w:rsidRPr="005F6C5F">
        <w:rPr>
          <w:color w:val="000000" w:themeColor="text1"/>
          <w:lang w:val="en-GB"/>
        </w:rPr>
        <w:t>,</w:t>
      </w:r>
      <w:r w:rsidRPr="005F6C5F">
        <w:rPr>
          <w:color w:val="000000" w:themeColor="text1"/>
          <w:lang w:val="en-GB"/>
        </w:rPr>
        <w:t xml:space="preserve"> becomes relevant if we are interested in understanding the effect of policies as they get implemented into the field. </w:t>
      </w:r>
      <w:bookmarkEnd w:id="6"/>
      <w:r w:rsidRPr="005F6C5F">
        <w:rPr>
          <w:color w:val="000000" w:themeColor="text1"/>
          <w:lang w:val="en-GB"/>
        </w:rPr>
        <w:t xml:space="preserve">For this reason, </w:t>
      </w:r>
      <w:r w:rsidR="00EC54D1" w:rsidRPr="005F6C5F">
        <w:rPr>
          <w:color w:val="000000" w:themeColor="text1"/>
          <w:lang w:val="en-GB"/>
        </w:rPr>
        <w:t xml:space="preserve">I will draw on sociological approaches to the study of policy actors and their role in influencing policy effects. </w:t>
      </w:r>
    </w:p>
    <w:p w14:paraId="1B1A3523" w14:textId="23CD9E6D" w:rsidR="00137EE9" w:rsidRPr="005F6C5F" w:rsidRDefault="00404B45" w:rsidP="00393E33">
      <w:pPr>
        <w:spacing w:after="120" w:line="360" w:lineRule="auto"/>
        <w:jc w:val="both"/>
        <w:rPr>
          <w:color w:val="000000" w:themeColor="text1"/>
          <w:lang w:val="en-GB"/>
        </w:rPr>
      </w:pPr>
      <w:r w:rsidRPr="005F6C5F">
        <w:rPr>
          <w:color w:val="000000" w:themeColor="text1"/>
          <w:lang w:val="en-GB"/>
        </w:rPr>
        <w:t xml:space="preserve">Constructivist approaches of social process such as Guba and Lincoln’s (Guba and Lincoln 1989) and realistic evaluation theories such as Pawson and Tilley’s (Pawson and Tilley 1997) offer the ground on which to analyse the role of actors, stakeholders and their interpretation of policy programmes in shaping policy outcomes and policy effects. </w:t>
      </w:r>
      <w:r w:rsidRPr="005F6C5F">
        <w:rPr>
          <w:rFonts w:ascii="Calibri" w:hAnsi="Calibri" w:cs="Arimo"/>
          <w:color w:val="000000" w:themeColor="text1"/>
          <w:lang w:val="en-GB"/>
        </w:rPr>
        <w:t xml:space="preserve">On the one hand, </w:t>
      </w:r>
      <w:r w:rsidRPr="005F6C5F">
        <w:rPr>
          <w:color w:val="000000" w:themeColor="text1"/>
          <w:lang w:val="en-GB"/>
        </w:rPr>
        <w:t>the interplay between policy programmes – in the sense of both policy ideas and tools - and actors’ individuality can produce mechanisms that influence the way certain policies are acted upon (</w:t>
      </w:r>
      <w:proofErr w:type="spellStart"/>
      <w:r w:rsidRPr="005F6C5F">
        <w:rPr>
          <w:color w:val="000000" w:themeColor="text1"/>
          <w:lang w:val="en-GB"/>
        </w:rPr>
        <w:t>Stame</w:t>
      </w:r>
      <w:proofErr w:type="spellEnd"/>
      <w:r w:rsidRPr="005F6C5F">
        <w:rPr>
          <w:color w:val="000000" w:themeColor="text1"/>
          <w:lang w:val="en-GB"/>
        </w:rPr>
        <w:t xml:space="preserve"> 2004). Policy programmes can get transformed during their implementation and this is not only due to the interaction between programmes and contexts but also on the one between programmes and actors’ interpretations and beliefs. An example of this can be found in the work of Lipsky </w:t>
      </w:r>
      <w:r w:rsidRPr="005F6C5F">
        <w:rPr>
          <w:rFonts w:ascii="Calibri" w:hAnsi="Calibri" w:cs="Arimo"/>
          <w:color w:val="000000" w:themeColor="text1"/>
          <w:lang w:val="en-GB"/>
        </w:rPr>
        <w:t>(1976, 1980)</w:t>
      </w:r>
      <w:r w:rsidRPr="005F6C5F">
        <w:rPr>
          <w:color w:val="000000" w:themeColor="text1"/>
          <w:lang w:val="en-GB"/>
        </w:rPr>
        <w:t xml:space="preserve"> and his theory of </w:t>
      </w:r>
      <w:r w:rsidRPr="005F6C5F">
        <w:rPr>
          <w:rFonts w:ascii="Calibri" w:hAnsi="Calibri" w:cs="Arimo"/>
          <w:i/>
          <w:color w:val="000000" w:themeColor="text1"/>
          <w:lang w:val="en-GB"/>
        </w:rPr>
        <w:t>street-level-bureaucracy</w:t>
      </w:r>
      <w:r w:rsidRPr="005F6C5F">
        <w:rPr>
          <w:rFonts w:ascii="Calibri" w:hAnsi="Calibri" w:cs="Arimo"/>
          <w:color w:val="000000" w:themeColor="text1"/>
          <w:lang w:val="en-GB"/>
        </w:rPr>
        <w:t xml:space="preserve">: street-level bureaucrats, in the definition given by Lipsky, work mid-way between the users of public services and the higher hierarchy of public officials. Having to deal with often unstable environments and resources and ambiguous if not contradictory demands from the bottom and from the top, they put in place a series of coping strategies to face such challenges. Another example </w:t>
      </w:r>
      <w:r w:rsidR="00EC54D1" w:rsidRPr="005F6C5F">
        <w:rPr>
          <w:rFonts w:ascii="Calibri" w:hAnsi="Calibri" w:cs="Arimo"/>
          <w:color w:val="000000" w:themeColor="text1"/>
          <w:lang w:val="en-GB"/>
        </w:rPr>
        <w:t xml:space="preserve">– </w:t>
      </w:r>
      <w:r w:rsidR="006D1D22" w:rsidRPr="005F6C5F">
        <w:rPr>
          <w:rFonts w:ascii="Calibri" w:hAnsi="Calibri" w:cs="Arimo"/>
          <w:color w:val="000000" w:themeColor="text1"/>
          <w:lang w:val="en-GB"/>
        </w:rPr>
        <w:t xml:space="preserve">highly </w:t>
      </w:r>
      <w:r w:rsidR="00EC54D1" w:rsidRPr="005F6C5F">
        <w:rPr>
          <w:rFonts w:ascii="Calibri" w:hAnsi="Calibri" w:cs="Arimo"/>
          <w:color w:val="000000" w:themeColor="text1"/>
          <w:lang w:val="en-GB"/>
        </w:rPr>
        <w:t xml:space="preserve">relevant for the contexts of my analysis - </w:t>
      </w:r>
      <w:r w:rsidRPr="005F6C5F">
        <w:rPr>
          <w:rFonts w:ascii="Calibri" w:hAnsi="Calibri" w:cs="Arimo"/>
          <w:color w:val="000000" w:themeColor="text1"/>
          <w:lang w:val="en-GB"/>
        </w:rPr>
        <w:t xml:space="preserve">is that of </w:t>
      </w:r>
      <w:r w:rsidRPr="005F6C5F">
        <w:rPr>
          <w:rFonts w:ascii="Calibri" w:hAnsi="Calibri" w:cs="Arimo"/>
          <w:i/>
          <w:color w:val="000000" w:themeColor="text1"/>
          <w:lang w:val="en-GB"/>
        </w:rPr>
        <w:t xml:space="preserve">policy practice </w:t>
      </w:r>
      <w:r w:rsidRPr="005F6C5F">
        <w:rPr>
          <w:rFonts w:ascii="Calibri" w:hAnsi="Calibri" w:cs="Arimo"/>
          <w:color w:val="000000" w:themeColor="text1"/>
          <w:lang w:val="en-GB"/>
        </w:rPr>
        <w:t xml:space="preserve">first coined by Bruce Jansson and </w:t>
      </w:r>
      <w:r w:rsidRPr="005F6C5F">
        <w:rPr>
          <w:rFonts w:ascii="Calibri" w:hAnsi="Calibri" w:cs="Arimo"/>
          <w:color w:val="000000" w:themeColor="text1"/>
          <w:lang w:val="en-GB"/>
        </w:rPr>
        <w:lastRenderedPageBreak/>
        <w:t xml:space="preserve">analysed by </w:t>
      </w:r>
      <w:bookmarkStart w:id="7" w:name="_Hlk10211458"/>
      <w:r w:rsidRPr="005F6C5F">
        <w:rPr>
          <w:rFonts w:ascii="Calibri" w:hAnsi="Calibri" w:cs="Arimo"/>
          <w:color w:val="000000" w:themeColor="text1"/>
          <w:lang w:val="en-GB"/>
        </w:rPr>
        <w:t xml:space="preserve">John Gal and </w:t>
      </w:r>
      <w:proofErr w:type="spellStart"/>
      <w:r w:rsidRPr="005F6C5F">
        <w:rPr>
          <w:rFonts w:ascii="Calibri" w:hAnsi="Calibri" w:cs="Arimo"/>
          <w:color w:val="000000" w:themeColor="text1"/>
          <w:lang w:val="en-GB"/>
        </w:rPr>
        <w:t>Idit</w:t>
      </w:r>
      <w:proofErr w:type="spellEnd"/>
      <w:r w:rsidRPr="005F6C5F">
        <w:rPr>
          <w:rFonts w:ascii="Calibri" w:hAnsi="Calibri" w:cs="Arimo"/>
          <w:color w:val="000000" w:themeColor="text1"/>
          <w:lang w:val="en-GB"/>
        </w:rPr>
        <w:t xml:space="preserve"> Weiss-Gal (2014)</w:t>
      </w:r>
      <w:bookmarkEnd w:id="7"/>
      <w:r w:rsidRPr="005F6C5F">
        <w:rPr>
          <w:rFonts w:ascii="Calibri" w:hAnsi="Calibri" w:cs="Arimo"/>
          <w:color w:val="000000" w:themeColor="text1"/>
          <w:lang w:val="en-GB"/>
        </w:rPr>
        <w:t xml:space="preserve"> in their recent work on social workers and their role in influencing policy from an international perspective. The underpinning ideas of policy practice are that all social workers do engage in activities within their professional settings which do influence or should influence social welfare policy at different levels. The extent to which this happens is proportional to their role in reinforcing, transforming or challenging specific policy programmes. </w:t>
      </w:r>
      <w:r w:rsidR="00CB2078" w:rsidRPr="005F6C5F">
        <w:rPr>
          <w:rFonts w:ascii="Calibri" w:hAnsi="Calibri" w:cs="Arimo"/>
          <w:color w:val="000000" w:themeColor="text1"/>
          <w:lang w:val="en-GB"/>
        </w:rPr>
        <w:t>S</w:t>
      </w:r>
      <w:r w:rsidRPr="005F6C5F">
        <w:rPr>
          <w:rFonts w:ascii="Calibri" w:hAnsi="Calibri" w:cs="Arimo"/>
          <w:color w:val="000000" w:themeColor="text1"/>
          <w:lang w:val="en-GB"/>
        </w:rPr>
        <w:t xml:space="preserve">treet-level-bureaucracy and policy practice theories are useful approaches in the analysis of actors’ role in </w:t>
      </w:r>
      <w:r w:rsidR="006D1D22" w:rsidRPr="005F6C5F">
        <w:rPr>
          <w:rFonts w:ascii="Calibri" w:hAnsi="Calibri" w:cs="Arimo"/>
          <w:color w:val="000000" w:themeColor="text1"/>
          <w:lang w:val="en-GB"/>
        </w:rPr>
        <w:t>determining the effects of social policy</w:t>
      </w:r>
      <w:r w:rsidRPr="005F6C5F">
        <w:rPr>
          <w:rFonts w:ascii="Calibri" w:hAnsi="Calibri" w:cs="Arimo"/>
          <w:color w:val="000000" w:themeColor="text1"/>
          <w:lang w:val="en-GB"/>
        </w:rPr>
        <w:t>.</w:t>
      </w:r>
      <w:r w:rsidR="006D1D22" w:rsidRPr="005F6C5F">
        <w:rPr>
          <w:rFonts w:ascii="Calibri" w:hAnsi="Calibri" w:cs="Arimo"/>
          <w:color w:val="000000" w:themeColor="text1"/>
          <w:lang w:val="en-GB"/>
        </w:rPr>
        <w:t xml:space="preserve"> </w:t>
      </w:r>
      <w:r w:rsidR="00CB2078" w:rsidRPr="005F6C5F">
        <w:rPr>
          <w:rFonts w:ascii="Calibri" w:hAnsi="Calibri" w:cs="Arimo"/>
          <w:color w:val="000000" w:themeColor="text1"/>
          <w:lang w:val="en-GB"/>
        </w:rPr>
        <w:t>Both theories, however, have first emerged in a welfare context which is different from ou</w:t>
      </w:r>
      <w:r w:rsidR="006D1B3A">
        <w:rPr>
          <w:rFonts w:ascii="Calibri" w:hAnsi="Calibri" w:cs="Arimo"/>
          <w:color w:val="000000" w:themeColor="text1"/>
          <w:lang w:val="en-GB"/>
        </w:rPr>
        <w:t xml:space="preserve">r </w:t>
      </w:r>
      <w:r w:rsidR="00CB2078" w:rsidRPr="005F6C5F">
        <w:rPr>
          <w:rFonts w:ascii="Calibri" w:hAnsi="Calibri" w:cs="Arimo"/>
          <w:color w:val="000000" w:themeColor="text1"/>
          <w:lang w:val="en-GB"/>
        </w:rPr>
        <w:t xml:space="preserve">current one. In particular, the idea of welfare states as unitary and hierarchical systems – an idea which remined somehow valid until the 90s – does not </w:t>
      </w:r>
      <w:r w:rsidR="00CB2078" w:rsidRPr="005F6C5F">
        <w:rPr>
          <w:rFonts w:cstheme="minorHAnsi"/>
          <w:color w:val="000000" w:themeColor="text1"/>
          <w:lang w:val="en-GB"/>
        </w:rPr>
        <w:t xml:space="preserve">match anymore with the reality of welfare systems increasingly characterised by network forms of organisation, hence by form of </w:t>
      </w:r>
      <w:r w:rsidR="00CB2078" w:rsidRPr="005F6C5F">
        <w:rPr>
          <w:rFonts w:cstheme="minorHAnsi"/>
          <w:i/>
          <w:color w:val="000000" w:themeColor="text1"/>
          <w:lang w:val="en-GB"/>
        </w:rPr>
        <w:t>governance</w:t>
      </w:r>
      <w:r w:rsidR="00CB2078" w:rsidRPr="005F6C5F">
        <w:rPr>
          <w:rFonts w:cstheme="minorHAnsi"/>
          <w:color w:val="000000" w:themeColor="text1"/>
          <w:lang w:val="en-GB"/>
        </w:rPr>
        <w:t xml:space="preserve"> more than </w:t>
      </w:r>
      <w:r w:rsidR="00CB2078" w:rsidRPr="005F6C5F">
        <w:rPr>
          <w:rFonts w:cstheme="minorHAnsi"/>
          <w:i/>
          <w:color w:val="000000" w:themeColor="text1"/>
          <w:lang w:val="en-GB"/>
        </w:rPr>
        <w:t>government</w:t>
      </w:r>
      <w:r w:rsidR="00CB2078" w:rsidRPr="005F6C5F">
        <w:rPr>
          <w:rFonts w:cstheme="minorHAnsi"/>
          <w:color w:val="000000" w:themeColor="text1"/>
          <w:lang w:val="en-GB"/>
        </w:rPr>
        <w:t xml:space="preserve"> </w:t>
      </w:r>
      <w:bookmarkStart w:id="8" w:name="_Hlk10211476"/>
      <w:r w:rsidR="00CB2078" w:rsidRPr="005F6C5F">
        <w:rPr>
          <w:color w:val="000000" w:themeColor="text1"/>
          <w:lang w:val="en-GB"/>
        </w:rPr>
        <w:t>(</w:t>
      </w:r>
      <w:proofErr w:type="spellStart"/>
      <w:r w:rsidR="00CB2078" w:rsidRPr="005F6C5F">
        <w:rPr>
          <w:color w:val="000000" w:themeColor="text1"/>
          <w:lang w:val="en-GB"/>
        </w:rPr>
        <w:t>Bevir</w:t>
      </w:r>
      <w:proofErr w:type="spellEnd"/>
      <w:r w:rsidR="00CB2078" w:rsidRPr="005F6C5F">
        <w:rPr>
          <w:color w:val="000000" w:themeColor="text1"/>
          <w:lang w:val="en-GB"/>
        </w:rPr>
        <w:t xml:space="preserve"> and Rhodes, 2003; Goldsmith &amp; Eggers 2004; Eggers 2008)</w:t>
      </w:r>
      <w:bookmarkEnd w:id="8"/>
      <w:r w:rsidR="00CB2078" w:rsidRPr="005F6C5F">
        <w:rPr>
          <w:color w:val="000000" w:themeColor="text1"/>
          <w:lang w:val="en-GB"/>
        </w:rPr>
        <w:t>. The consideration of governance dynamics and network systems in the study of public policy demand</w:t>
      </w:r>
      <w:r w:rsidR="00137EE9" w:rsidRPr="005F6C5F">
        <w:rPr>
          <w:color w:val="000000" w:themeColor="text1"/>
          <w:lang w:val="en-GB"/>
        </w:rPr>
        <w:t xml:space="preserve">s, first of all, </w:t>
      </w:r>
      <w:r w:rsidR="00CB2078" w:rsidRPr="005F6C5F">
        <w:rPr>
          <w:color w:val="000000" w:themeColor="text1"/>
          <w:lang w:val="en-GB"/>
        </w:rPr>
        <w:t xml:space="preserve">that attention is given to </w:t>
      </w:r>
      <w:r w:rsidR="00137EE9" w:rsidRPr="005F6C5F">
        <w:rPr>
          <w:rFonts w:cstheme="minorHAnsi"/>
          <w:color w:val="000000" w:themeColor="text1"/>
          <w:lang w:val="en-GB"/>
        </w:rPr>
        <w:t xml:space="preserve">traditional welfare actors (such as social workers, as per the theories above) but also to new actors in the policy networks. Furthermore, it also means that both these new actors, and the structures of the networks in themselves, do influence and play a role in regards to specific policy agendas. It is for this reasons that I will include </w:t>
      </w:r>
      <w:r w:rsidR="00137EE9" w:rsidRPr="005F6C5F">
        <w:rPr>
          <w:rFonts w:cstheme="minorHAnsi"/>
          <w:i/>
          <w:color w:val="000000" w:themeColor="text1"/>
          <w:lang w:val="en-GB"/>
        </w:rPr>
        <w:t>governance and network theories</w:t>
      </w:r>
      <w:r w:rsidR="00137EE9" w:rsidRPr="005F6C5F">
        <w:rPr>
          <w:rFonts w:cstheme="minorHAnsi"/>
          <w:color w:val="000000" w:themeColor="text1"/>
          <w:lang w:val="en-GB"/>
        </w:rPr>
        <w:t xml:space="preserve"> in my analysis. In particular, I will draw on the re-elaboration of such theories by Ball (2006, 2015, 2016) and Peck and Theodore (2012) and on their ideas of</w:t>
      </w:r>
      <w:r w:rsidR="00C7179F" w:rsidRPr="005F6C5F">
        <w:rPr>
          <w:rFonts w:cstheme="minorHAnsi"/>
          <w:color w:val="000000" w:themeColor="text1"/>
          <w:lang w:val="en-GB"/>
        </w:rPr>
        <w:t xml:space="preserve">, respectively, </w:t>
      </w:r>
      <w:r w:rsidR="00137EE9" w:rsidRPr="005F6C5F">
        <w:rPr>
          <w:rFonts w:cstheme="minorHAnsi"/>
          <w:color w:val="000000" w:themeColor="text1"/>
          <w:lang w:val="en-GB"/>
        </w:rPr>
        <w:t>‘policy</w:t>
      </w:r>
      <w:r w:rsidR="00C7179F" w:rsidRPr="005F6C5F">
        <w:rPr>
          <w:rFonts w:cstheme="minorHAnsi"/>
          <w:color w:val="000000" w:themeColor="text1"/>
          <w:lang w:val="en-GB"/>
        </w:rPr>
        <w:t xml:space="preserve"> as text and discourses</w:t>
      </w:r>
      <w:r w:rsidR="00137EE9" w:rsidRPr="005F6C5F">
        <w:rPr>
          <w:rFonts w:cstheme="minorHAnsi"/>
          <w:color w:val="000000" w:themeColor="text1"/>
          <w:lang w:val="en-GB"/>
        </w:rPr>
        <w:t xml:space="preserve">’ and ‘policy mobility’. </w:t>
      </w:r>
      <w:r w:rsidR="00244414" w:rsidRPr="005F6C5F">
        <w:rPr>
          <w:rFonts w:cstheme="minorHAnsi"/>
          <w:color w:val="000000" w:themeColor="text1"/>
          <w:lang w:val="en-GB"/>
        </w:rPr>
        <w:t>The first one has to do both</w:t>
      </w:r>
      <w:r w:rsidR="00C7179F" w:rsidRPr="005F6C5F">
        <w:rPr>
          <w:rFonts w:cstheme="minorHAnsi"/>
          <w:color w:val="000000" w:themeColor="text1"/>
          <w:lang w:val="en-GB"/>
        </w:rPr>
        <w:t xml:space="preserve"> </w:t>
      </w:r>
      <w:r w:rsidR="00C7179F" w:rsidRPr="005F6C5F">
        <w:rPr>
          <w:rFonts w:ascii="Calibri" w:hAnsi="Calibri" w:cs="Arimo"/>
          <w:color w:val="000000" w:themeColor="text1"/>
          <w:lang w:val="en-GB"/>
        </w:rPr>
        <w:t xml:space="preserve">with </w:t>
      </w:r>
      <w:r w:rsidR="00C7179F" w:rsidRPr="005F6C5F">
        <w:rPr>
          <w:bCs/>
          <w:color w:val="000000" w:themeColor="text1"/>
          <w:lang w:val="en-GB"/>
        </w:rPr>
        <w:t xml:space="preserve">the way policies are enacted by </w:t>
      </w:r>
      <w:r w:rsidR="00244414" w:rsidRPr="005F6C5F">
        <w:rPr>
          <w:bCs/>
          <w:color w:val="000000" w:themeColor="text1"/>
          <w:lang w:val="en-GB"/>
        </w:rPr>
        <w:t xml:space="preserve">the </w:t>
      </w:r>
      <w:r w:rsidR="00C7179F" w:rsidRPr="005F6C5F">
        <w:rPr>
          <w:bCs/>
          <w:color w:val="000000" w:themeColor="text1"/>
          <w:lang w:val="en-GB"/>
        </w:rPr>
        <w:t xml:space="preserve">different actors </w:t>
      </w:r>
      <w:r w:rsidR="00244414" w:rsidRPr="005F6C5F">
        <w:rPr>
          <w:bCs/>
          <w:color w:val="000000" w:themeColor="text1"/>
          <w:lang w:val="en-GB"/>
        </w:rPr>
        <w:t>of</w:t>
      </w:r>
      <w:r w:rsidR="00C7179F" w:rsidRPr="005F6C5F">
        <w:rPr>
          <w:bCs/>
          <w:color w:val="000000" w:themeColor="text1"/>
          <w:lang w:val="en-GB"/>
        </w:rPr>
        <w:t xml:space="preserve"> a policy network</w:t>
      </w:r>
      <w:r w:rsidR="00244414" w:rsidRPr="005F6C5F">
        <w:rPr>
          <w:bCs/>
          <w:color w:val="000000" w:themeColor="text1"/>
          <w:lang w:val="en-GB"/>
        </w:rPr>
        <w:t xml:space="preserve"> and also with</w:t>
      </w:r>
      <w:r w:rsidR="00C7179F" w:rsidRPr="005F6C5F">
        <w:rPr>
          <w:bCs/>
          <w:color w:val="000000" w:themeColor="text1"/>
          <w:lang w:val="en-GB"/>
        </w:rPr>
        <w:t xml:space="preserve"> the way policies act on actors themselves</w:t>
      </w:r>
      <w:r w:rsidR="00244414" w:rsidRPr="005F6C5F">
        <w:rPr>
          <w:bCs/>
          <w:color w:val="000000" w:themeColor="text1"/>
          <w:lang w:val="en-GB"/>
        </w:rPr>
        <w:t xml:space="preserve">. </w:t>
      </w:r>
      <w:r w:rsidR="00C7179F" w:rsidRPr="005F6C5F">
        <w:rPr>
          <w:bCs/>
          <w:color w:val="000000" w:themeColor="text1"/>
          <w:lang w:val="en-GB"/>
        </w:rPr>
        <w:t xml:space="preserve"> </w:t>
      </w:r>
      <w:r w:rsidR="00244414" w:rsidRPr="005F6C5F">
        <w:rPr>
          <w:bCs/>
          <w:color w:val="000000" w:themeColor="text1"/>
          <w:lang w:val="en-GB"/>
        </w:rPr>
        <w:t xml:space="preserve">The second one regards instead </w:t>
      </w:r>
      <w:r w:rsidR="00C7179F" w:rsidRPr="005F6C5F">
        <w:rPr>
          <w:bCs/>
          <w:color w:val="000000" w:themeColor="text1"/>
          <w:lang w:val="en-GB"/>
        </w:rPr>
        <w:t xml:space="preserve">the way policies move between, among and across actors. As such, the works </w:t>
      </w:r>
      <w:r w:rsidR="00244414" w:rsidRPr="005F6C5F">
        <w:rPr>
          <w:bCs/>
          <w:color w:val="000000" w:themeColor="text1"/>
          <w:lang w:val="en-GB"/>
        </w:rPr>
        <w:t>of Ball</w:t>
      </w:r>
      <w:r w:rsidR="00D727FB" w:rsidRPr="005F6C5F">
        <w:rPr>
          <w:bCs/>
          <w:color w:val="000000" w:themeColor="text1"/>
          <w:lang w:val="en-GB"/>
        </w:rPr>
        <w:t>,</w:t>
      </w:r>
      <w:r w:rsidR="00244414" w:rsidRPr="005F6C5F">
        <w:rPr>
          <w:bCs/>
          <w:color w:val="000000" w:themeColor="text1"/>
          <w:lang w:val="en-GB"/>
        </w:rPr>
        <w:t xml:space="preserve"> Peck and Theodore are useful compasses for the understanding of</w:t>
      </w:r>
      <w:r w:rsidR="00C7179F" w:rsidRPr="005F6C5F">
        <w:rPr>
          <w:bCs/>
          <w:color w:val="000000" w:themeColor="text1"/>
          <w:lang w:val="en-GB"/>
        </w:rPr>
        <w:t xml:space="preserve"> the</w:t>
      </w:r>
      <w:r w:rsidR="00C7179F" w:rsidRPr="005F6C5F">
        <w:rPr>
          <w:rFonts w:ascii="Calibri" w:hAnsi="Calibri" w:cs="Arimo"/>
          <w:color w:val="000000" w:themeColor="text1"/>
          <w:lang w:val="en-GB"/>
        </w:rPr>
        <w:t xml:space="preserve"> </w:t>
      </w:r>
      <w:r w:rsidR="00D727FB" w:rsidRPr="005F6C5F">
        <w:rPr>
          <w:rFonts w:ascii="Calibri" w:hAnsi="Calibri" w:cs="Arimo"/>
          <w:color w:val="000000" w:themeColor="text1"/>
          <w:lang w:val="en-GB"/>
        </w:rPr>
        <w:t xml:space="preserve">changing </w:t>
      </w:r>
      <w:r w:rsidR="00C7179F" w:rsidRPr="005F6C5F">
        <w:rPr>
          <w:rFonts w:ascii="Calibri" w:hAnsi="Calibri" w:cs="Arimo"/>
          <w:color w:val="000000" w:themeColor="text1"/>
          <w:lang w:val="en-GB"/>
        </w:rPr>
        <w:t>role of actors in the policy process at the crossroads between agency and interpretations on the one hand and subjectification and discourses on the other.</w:t>
      </w:r>
    </w:p>
    <w:p w14:paraId="42430BEA" w14:textId="212CEB6C" w:rsidR="00404B45" w:rsidRPr="005F6C5F" w:rsidRDefault="00404B45" w:rsidP="00393E33">
      <w:pPr>
        <w:spacing w:after="120" w:line="360" w:lineRule="auto"/>
        <w:jc w:val="both"/>
        <w:rPr>
          <w:color w:val="000000" w:themeColor="text1"/>
        </w:rPr>
      </w:pPr>
    </w:p>
    <w:p w14:paraId="535058CA" w14:textId="137519F1" w:rsidR="00404B45" w:rsidRPr="005F6C5F" w:rsidRDefault="006C475E" w:rsidP="00393E33">
      <w:pPr>
        <w:spacing w:after="120" w:line="360" w:lineRule="auto"/>
        <w:jc w:val="both"/>
        <w:rPr>
          <w:b/>
          <w:color w:val="000000" w:themeColor="text1"/>
          <w:lang w:val="en-GB"/>
        </w:rPr>
      </w:pPr>
      <w:r w:rsidRPr="005F6C5F">
        <w:rPr>
          <w:b/>
          <w:color w:val="000000" w:themeColor="text1"/>
          <w:lang w:val="en-GB"/>
        </w:rPr>
        <w:t>Preliminary Findings</w:t>
      </w:r>
    </w:p>
    <w:p w14:paraId="40674B31" w14:textId="65ADDF03" w:rsidR="00E10F75" w:rsidRPr="005F6C5F" w:rsidRDefault="00E10F75" w:rsidP="005F6C5F">
      <w:pPr>
        <w:spacing w:after="120" w:line="360" w:lineRule="auto"/>
        <w:ind w:firstLine="708"/>
        <w:jc w:val="both"/>
        <w:rPr>
          <w:color w:val="000000" w:themeColor="text1"/>
          <w:u w:val="single"/>
          <w:lang w:val="en-GB"/>
        </w:rPr>
      </w:pPr>
      <w:r w:rsidRPr="005F6C5F">
        <w:rPr>
          <w:color w:val="000000" w:themeColor="text1"/>
          <w:u w:val="single"/>
          <w:lang w:val="en-GB"/>
        </w:rPr>
        <w:t>The need for translation</w:t>
      </w:r>
    </w:p>
    <w:p w14:paraId="000966B3" w14:textId="3815F82B" w:rsidR="00A2285F" w:rsidRPr="005F6C5F" w:rsidRDefault="00DA6F3B" w:rsidP="00393E33">
      <w:pPr>
        <w:spacing w:after="120" w:line="360" w:lineRule="auto"/>
        <w:jc w:val="both"/>
        <w:rPr>
          <w:color w:val="000000" w:themeColor="text1"/>
          <w:lang w:val="en-GB"/>
        </w:rPr>
      </w:pPr>
      <w:r w:rsidRPr="005F6C5F">
        <w:rPr>
          <w:color w:val="000000" w:themeColor="text1"/>
          <w:lang w:val="en-GB"/>
        </w:rPr>
        <w:t>Preliminary findings are currently available only for the English context</w:t>
      </w:r>
      <w:r w:rsidR="00A2285F" w:rsidRPr="005F6C5F">
        <w:rPr>
          <w:color w:val="000000" w:themeColor="text1"/>
          <w:lang w:val="en-GB"/>
        </w:rPr>
        <w:t xml:space="preserve"> and, in this paper, my aim is that of providing a </w:t>
      </w:r>
      <w:r w:rsidR="00BD2D05" w:rsidRPr="005F6C5F">
        <w:rPr>
          <w:color w:val="000000" w:themeColor="text1"/>
          <w:lang w:val="en-GB"/>
        </w:rPr>
        <w:t xml:space="preserve">tentative systematisation of </w:t>
      </w:r>
      <w:r w:rsidR="002C643C" w:rsidRPr="005F6C5F">
        <w:rPr>
          <w:color w:val="000000" w:themeColor="text1"/>
          <w:lang w:val="en-GB"/>
        </w:rPr>
        <w:t xml:space="preserve">part of </w:t>
      </w:r>
      <w:r w:rsidR="00BD2D05" w:rsidRPr="005F6C5F">
        <w:rPr>
          <w:color w:val="000000" w:themeColor="text1"/>
          <w:lang w:val="en-GB"/>
        </w:rPr>
        <w:t xml:space="preserve">the material I have </w:t>
      </w:r>
      <w:r w:rsidR="00E93D80" w:rsidRPr="005F6C5F">
        <w:rPr>
          <w:color w:val="000000" w:themeColor="text1"/>
          <w:lang w:val="en-GB"/>
        </w:rPr>
        <w:t xml:space="preserve">so far </w:t>
      </w:r>
      <w:r w:rsidR="00BD2D05" w:rsidRPr="005F6C5F">
        <w:rPr>
          <w:color w:val="000000" w:themeColor="text1"/>
          <w:lang w:val="en-GB"/>
        </w:rPr>
        <w:t>collected through my fieldwork in England and</w:t>
      </w:r>
      <w:r w:rsidR="00A2285F" w:rsidRPr="005F6C5F">
        <w:rPr>
          <w:color w:val="000000" w:themeColor="text1"/>
          <w:lang w:val="en-GB"/>
        </w:rPr>
        <w:t xml:space="preserve"> </w:t>
      </w:r>
      <w:r w:rsidR="00BD2D05" w:rsidRPr="005F6C5F">
        <w:rPr>
          <w:color w:val="000000" w:themeColor="text1"/>
          <w:lang w:val="en-GB"/>
        </w:rPr>
        <w:t xml:space="preserve">based on the theoretical framework I presented above. </w:t>
      </w:r>
    </w:p>
    <w:p w14:paraId="0E70DD43" w14:textId="20018AB0" w:rsidR="006C475E" w:rsidRPr="005F6C5F" w:rsidRDefault="00BD2D05" w:rsidP="00393E33">
      <w:pPr>
        <w:spacing w:after="120" w:line="360" w:lineRule="auto"/>
        <w:jc w:val="both"/>
        <w:rPr>
          <w:color w:val="000000" w:themeColor="text1"/>
          <w:lang w:val="en-GB"/>
        </w:rPr>
      </w:pPr>
      <w:r w:rsidRPr="005F6C5F">
        <w:rPr>
          <w:color w:val="000000" w:themeColor="text1"/>
          <w:lang w:val="en-GB"/>
        </w:rPr>
        <w:t xml:space="preserve">Regarding the fieldwork, </w:t>
      </w:r>
      <w:r w:rsidR="00DA6F3B" w:rsidRPr="005F6C5F">
        <w:rPr>
          <w:color w:val="000000" w:themeColor="text1"/>
          <w:lang w:val="en-GB"/>
        </w:rPr>
        <w:t>I have spent over a year in England investigati</w:t>
      </w:r>
      <w:r w:rsidRPr="005F6C5F">
        <w:rPr>
          <w:color w:val="000000" w:themeColor="text1"/>
          <w:lang w:val="en-GB"/>
        </w:rPr>
        <w:t>ng</w:t>
      </w:r>
      <w:r w:rsidR="00DA6F3B" w:rsidRPr="005F6C5F">
        <w:rPr>
          <w:color w:val="000000" w:themeColor="text1"/>
          <w:lang w:val="en-GB"/>
        </w:rPr>
        <w:t xml:space="preserve"> how choice agendas have</w:t>
      </w:r>
      <w:r w:rsidR="00B1289F" w:rsidRPr="005F6C5F">
        <w:rPr>
          <w:color w:val="000000" w:themeColor="text1"/>
          <w:lang w:val="en-GB"/>
        </w:rPr>
        <w:t xml:space="preserve">, and still </w:t>
      </w:r>
      <w:r w:rsidR="00DA6F3B" w:rsidRPr="005F6C5F">
        <w:rPr>
          <w:color w:val="000000" w:themeColor="text1"/>
          <w:lang w:val="en-GB"/>
        </w:rPr>
        <w:t>are</w:t>
      </w:r>
      <w:r w:rsidR="00B1289F" w:rsidRPr="005F6C5F">
        <w:rPr>
          <w:color w:val="000000" w:themeColor="text1"/>
          <w:lang w:val="en-GB"/>
        </w:rPr>
        <w:t xml:space="preserve"> </w:t>
      </w:r>
      <w:r w:rsidR="00DA6F3B" w:rsidRPr="005F6C5F">
        <w:rPr>
          <w:color w:val="000000" w:themeColor="text1"/>
          <w:lang w:val="en-GB"/>
        </w:rPr>
        <w:t xml:space="preserve">translated into practice. </w:t>
      </w:r>
      <w:r w:rsidRPr="005F6C5F">
        <w:rPr>
          <w:color w:val="000000" w:themeColor="text1"/>
          <w:lang w:val="en-GB"/>
        </w:rPr>
        <w:t>Drawing on Ball (2015), I</w:t>
      </w:r>
      <w:r w:rsidR="00030B36" w:rsidRPr="005F6C5F">
        <w:rPr>
          <w:color w:val="000000" w:themeColor="text1"/>
          <w:lang w:val="en-GB"/>
        </w:rPr>
        <w:t xml:space="preserve"> </w:t>
      </w:r>
      <w:r w:rsidRPr="005F6C5F">
        <w:rPr>
          <w:color w:val="000000" w:themeColor="text1"/>
          <w:lang w:val="en-GB"/>
        </w:rPr>
        <w:t xml:space="preserve">focused on the ‘labor of network actors’ in regards to choice agendas and, through ‘network ethnography’, I followed choice agendas in their journey from policy into practice through the lens of their </w:t>
      </w:r>
      <w:r w:rsidR="00030B36" w:rsidRPr="005F6C5F">
        <w:rPr>
          <w:color w:val="000000" w:themeColor="text1"/>
          <w:lang w:val="en-GB"/>
        </w:rPr>
        <w:t xml:space="preserve">different </w:t>
      </w:r>
      <w:r w:rsidRPr="005F6C5F">
        <w:rPr>
          <w:color w:val="000000" w:themeColor="text1"/>
          <w:lang w:val="en-GB"/>
        </w:rPr>
        <w:t xml:space="preserve">actors. </w:t>
      </w:r>
    </w:p>
    <w:p w14:paraId="7D8A8AD7" w14:textId="148E27DB" w:rsidR="00030B36" w:rsidRPr="005F6C5F" w:rsidRDefault="00030B36" w:rsidP="00393E33">
      <w:pPr>
        <w:spacing w:after="120" w:line="360" w:lineRule="auto"/>
        <w:jc w:val="both"/>
        <w:rPr>
          <w:rFonts w:ascii="Calibri" w:hAnsi="Calibri" w:cs="Arimo"/>
          <w:color w:val="000000" w:themeColor="text1"/>
          <w:lang w:val="en-GB"/>
        </w:rPr>
      </w:pPr>
      <w:r w:rsidRPr="005F6C5F">
        <w:rPr>
          <w:rFonts w:ascii="Calibri" w:hAnsi="Calibri" w:cs="Arimo"/>
          <w:color w:val="000000" w:themeColor="text1"/>
          <w:lang w:val="en-GB"/>
        </w:rPr>
        <w:lastRenderedPageBreak/>
        <w:t>Network ethnography – paraphrasing Ball – uses the analytical device of the policy network to map and provide a representation of a policy filed and of the mobilities and interactions within it (</w:t>
      </w:r>
      <w:r w:rsidRPr="005F6C5F">
        <w:rPr>
          <w:rFonts w:ascii="Calibri" w:hAnsi="Calibri" w:cs="Arimo"/>
          <w:i/>
          <w:color w:val="000000" w:themeColor="text1"/>
          <w:lang w:val="en-GB"/>
        </w:rPr>
        <w:t>Ibidem</w:t>
      </w:r>
      <w:r w:rsidRPr="005F6C5F">
        <w:rPr>
          <w:rFonts w:ascii="Calibri" w:hAnsi="Calibri" w:cs="Arimo"/>
          <w:color w:val="000000" w:themeColor="text1"/>
          <w:lang w:val="en-GB"/>
        </w:rPr>
        <w:t xml:space="preserve">). For instance, the relationship between actors, their exchanges, their history and the evolution of their activity can be captured. </w:t>
      </w:r>
      <w:r w:rsidR="00B1289F" w:rsidRPr="005F6C5F">
        <w:rPr>
          <w:rFonts w:ascii="Calibri" w:hAnsi="Calibri" w:cs="Arimo"/>
          <w:color w:val="000000" w:themeColor="text1"/>
          <w:lang w:val="en-GB"/>
        </w:rPr>
        <w:t>I</w:t>
      </w:r>
      <w:r w:rsidRPr="005F6C5F">
        <w:rPr>
          <w:rFonts w:ascii="Calibri" w:hAnsi="Calibri" w:cs="Arimo"/>
          <w:color w:val="000000" w:themeColor="text1"/>
          <w:lang w:val="en-GB"/>
        </w:rPr>
        <w:t>n my case</w:t>
      </w:r>
      <w:r w:rsidR="00B1289F" w:rsidRPr="005F6C5F">
        <w:rPr>
          <w:rFonts w:ascii="Calibri" w:hAnsi="Calibri" w:cs="Arimo"/>
          <w:color w:val="000000" w:themeColor="text1"/>
          <w:lang w:val="en-GB"/>
        </w:rPr>
        <w:t>,</w:t>
      </w:r>
      <w:r w:rsidRPr="005F6C5F">
        <w:rPr>
          <w:rFonts w:ascii="Calibri" w:hAnsi="Calibri" w:cs="Arimo"/>
          <w:color w:val="000000" w:themeColor="text1"/>
          <w:lang w:val="en-GB"/>
        </w:rPr>
        <w:t xml:space="preserve"> these actors are both organisations, groups and individuals. More specifically: local authorities, consultancy organisations, services, professional categories such as social workers, individual social workers, service users, users’ led organisations. Focusing on the labor of these actors implies </w:t>
      </w:r>
      <w:r w:rsidR="007B5A9E" w:rsidRPr="005F6C5F">
        <w:rPr>
          <w:rFonts w:ascii="Calibri" w:hAnsi="Calibri" w:cs="Arimo"/>
          <w:color w:val="000000" w:themeColor="text1"/>
          <w:lang w:val="en-GB"/>
        </w:rPr>
        <w:t xml:space="preserve">visiting, </w:t>
      </w:r>
      <w:r w:rsidRPr="005F6C5F">
        <w:rPr>
          <w:rFonts w:ascii="Calibri" w:hAnsi="Calibri" w:cs="Arimo"/>
          <w:color w:val="000000" w:themeColor="text1"/>
          <w:lang w:val="en-GB"/>
        </w:rPr>
        <w:t xml:space="preserve">mapping and questioning the filed in which </w:t>
      </w:r>
      <w:r w:rsidR="00B1289F" w:rsidRPr="005F6C5F">
        <w:rPr>
          <w:rFonts w:ascii="Calibri" w:hAnsi="Calibri" w:cs="Arimo"/>
          <w:color w:val="000000" w:themeColor="text1"/>
          <w:lang w:val="en-GB"/>
        </w:rPr>
        <w:t>choice</w:t>
      </w:r>
      <w:r w:rsidRPr="005F6C5F">
        <w:rPr>
          <w:rFonts w:ascii="Calibri" w:hAnsi="Calibri" w:cs="Arimo"/>
          <w:color w:val="000000" w:themeColor="text1"/>
          <w:lang w:val="en-GB"/>
        </w:rPr>
        <w:t xml:space="preserve"> agendas apply</w:t>
      </w:r>
      <w:r w:rsidR="007B5A9E" w:rsidRPr="005F6C5F">
        <w:rPr>
          <w:rFonts w:ascii="Calibri" w:hAnsi="Calibri" w:cs="Arimo"/>
          <w:color w:val="000000" w:themeColor="text1"/>
          <w:lang w:val="en-GB"/>
        </w:rPr>
        <w:t>. It also implies capturing</w:t>
      </w:r>
      <w:r w:rsidRPr="005F6C5F">
        <w:rPr>
          <w:rFonts w:ascii="Calibri" w:hAnsi="Calibri" w:cs="Arimo"/>
          <w:color w:val="000000" w:themeColor="text1"/>
          <w:lang w:val="en-GB"/>
        </w:rPr>
        <w:t xml:space="preserve"> mobilities and interactions between actors and</w:t>
      </w:r>
      <w:r w:rsidR="00B1289F" w:rsidRPr="005F6C5F">
        <w:rPr>
          <w:rFonts w:ascii="Calibri" w:hAnsi="Calibri" w:cs="Arimo"/>
          <w:color w:val="000000" w:themeColor="text1"/>
          <w:lang w:val="en-GB"/>
        </w:rPr>
        <w:t>,</w:t>
      </w:r>
      <w:r w:rsidRPr="005F6C5F">
        <w:rPr>
          <w:rFonts w:ascii="Calibri" w:hAnsi="Calibri" w:cs="Arimo"/>
          <w:color w:val="000000" w:themeColor="text1"/>
          <w:lang w:val="en-GB"/>
        </w:rPr>
        <w:t xml:space="preserve"> also</w:t>
      </w:r>
      <w:r w:rsidR="00B1289F" w:rsidRPr="005F6C5F">
        <w:rPr>
          <w:rFonts w:ascii="Calibri" w:hAnsi="Calibri" w:cs="Arimo"/>
          <w:color w:val="000000" w:themeColor="text1"/>
          <w:lang w:val="en-GB"/>
        </w:rPr>
        <w:t xml:space="preserve">, </w:t>
      </w:r>
      <w:r w:rsidRPr="005F6C5F">
        <w:rPr>
          <w:rFonts w:ascii="Calibri" w:hAnsi="Calibri" w:cs="Arimo"/>
          <w:color w:val="000000" w:themeColor="text1"/>
          <w:lang w:val="en-GB"/>
        </w:rPr>
        <w:t xml:space="preserve">interactions between what we have described above with the concepts of </w:t>
      </w:r>
      <w:r w:rsidRPr="005F6C5F">
        <w:rPr>
          <w:rFonts w:ascii="Calibri" w:hAnsi="Calibri" w:cs="Arimo"/>
          <w:i/>
          <w:color w:val="000000" w:themeColor="text1"/>
          <w:lang w:val="en-GB"/>
        </w:rPr>
        <w:t>policy as text</w:t>
      </w:r>
      <w:r w:rsidRPr="005F6C5F">
        <w:rPr>
          <w:rFonts w:ascii="Calibri" w:hAnsi="Calibri" w:cs="Arimo"/>
          <w:color w:val="000000" w:themeColor="text1"/>
          <w:lang w:val="en-GB"/>
        </w:rPr>
        <w:t xml:space="preserve"> and </w:t>
      </w:r>
      <w:r w:rsidRPr="005F6C5F">
        <w:rPr>
          <w:rFonts w:ascii="Calibri" w:hAnsi="Calibri" w:cs="Arimo"/>
          <w:i/>
          <w:color w:val="000000" w:themeColor="text1"/>
          <w:lang w:val="en-GB"/>
        </w:rPr>
        <w:t>policy as discourses</w:t>
      </w:r>
      <w:r w:rsidRPr="005F6C5F">
        <w:rPr>
          <w:rFonts w:ascii="Calibri" w:hAnsi="Calibri" w:cs="Arimo"/>
          <w:color w:val="000000" w:themeColor="text1"/>
          <w:lang w:val="en-GB"/>
        </w:rPr>
        <w:t xml:space="preserve">. </w:t>
      </w:r>
    </w:p>
    <w:p w14:paraId="31CC7602" w14:textId="199D4376" w:rsidR="0025472A" w:rsidRPr="005F6C5F" w:rsidRDefault="00030B36" w:rsidP="00393E33">
      <w:pPr>
        <w:spacing w:after="120" w:line="360" w:lineRule="auto"/>
        <w:jc w:val="both"/>
        <w:rPr>
          <w:color w:val="000000" w:themeColor="text1"/>
          <w:lang w:val="en-GB"/>
        </w:rPr>
      </w:pPr>
      <w:r w:rsidRPr="005F6C5F">
        <w:rPr>
          <w:color w:val="000000" w:themeColor="text1"/>
          <w:lang w:val="en-GB"/>
        </w:rPr>
        <w:t>I allowed my methodology to be very open and exploratory at the beginning. I hence conducted exploratory interviews with the different actors of choice agendas</w:t>
      </w:r>
      <w:r w:rsidR="004F4AE2" w:rsidRPr="005F6C5F">
        <w:rPr>
          <w:color w:val="000000" w:themeColor="text1"/>
          <w:lang w:val="en-GB"/>
        </w:rPr>
        <w:t xml:space="preserve"> and I participated in network events such as conferences, training, forums</w:t>
      </w:r>
      <w:r w:rsidRPr="005F6C5F">
        <w:rPr>
          <w:color w:val="000000" w:themeColor="text1"/>
          <w:lang w:val="en-GB"/>
        </w:rPr>
        <w:t>. The</w:t>
      </w:r>
      <w:r w:rsidR="004F4AE2" w:rsidRPr="005F6C5F">
        <w:rPr>
          <w:color w:val="000000" w:themeColor="text1"/>
          <w:lang w:val="en-GB"/>
        </w:rPr>
        <w:t xml:space="preserve"> combination of </w:t>
      </w:r>
      <w:r w:rsidRPr="005F6C5F">
        <w:rPr>
          <w:color w:val="000000" w:themeColor="text1"/>
          <w:lang w:val="en-GB"/>
        </w:rPr>
        <w:t xml:space="preserve">exploratory interviews </w:t>
      </w:r>
      <w:r w:rsidR="004F4AE2" w:rsidRPr="005F6C5F">
        <w:rPr>
          <w:color w:val="000000" w:themeColor="text1"/>
          <w:lang w:val="en-GB"/>
        </w:rPr>
        <w:t xml:space="preserve">and observation at key events </w:t>
      </w:r>
      <w:r w:rsidRPr="005F6C5F">
        <w:rPr>
          <w:color w:val="000000" w:themeColor="text1"/>
          <w:lang w:val="en-GB"/>
        </w:rPr>
        <w:t>gave me a hint of the ‘sticky</w:t>
      </w:r>
      <w:r w:rsidR="007B5A9E" w:rsidRPr="005F6C5F">
        <w:rPr>
          <w:color w:val="000000" w:themeColor="text1"/>
          <w:lang w:val="en-GB"/>
        </w:rPr>
        <w:t>’</w:t>
      </w:r>
      <w:r w:rsidRPr="005F6C5F">
        <w:rPr>
          <w:color w:val="000000" w:themeColor="text1"/>
          <w:lang w:val="en-GB"/>
        </w:rPr>
        <w:t xml:space="preserve"> reality of choice agendas beyond policy documents and guidelines. </w:t>
      </w:r>
      <w:r w:rsidR="00AB0803" w:rsidRPr="005F6C5F">
        <w:rPr>
          <w:color w:val="000000" w:themeColor="text1"/>
          <w:lang w:val="en-GB"/>
        </w:rPr>
        <w:t>‘Best possible scenarios’ (Ball</w:t>
      </w:r>
      <w:r w:rsidR="00FE52B4" w:rsidRPr="005F6C5F">
        <w:rPr>
          <w:color w:val="000000" w:themeColor="text1"/>
          <w:lang w:val="en-GB"/>
        </w:rPr>
        <w:t xml:space="preserve"> 2012</w:t>
      </w:r>
      <w:r w:rsidR="00AB0803" w:rsidRPr="005F6C5F">
        <w:rPr>
          <w:color w:val="000000" w:themeColor="text1"/>
          <w:lang w:val="en-GB"/>
        </w:rPr>
        <w:t xml:space="preserve">) for implementation are </w:t>
      </w:r>
      <w:r w:rsidR="00FE52B4" w:rsidRPr="005F6C5F">
        <w:rPr>
          <w:color w:val="000000" w:themeColor="text1"/>
          <w:lang w:val="en-GB"/>
        </w:rPr>
        <w:t xml:space="preserve">usually </w:t>
      </w:r>
      <w:r w:rsidR="00AB0803" w:rsidRPr="005F6C5F">
        <w:rPr>
          <w:color w:val="000000" w:themeColor="text1"/>
          <w:lang w:val="en-GB"/>
        </w:rPr>
        <w:t>assumed by policy-makers. But policies cannot just be implemented</w:t>
      </w:r>
      <w:r w:rsidR="00FE52B4" w:rsidRPr="005F6C5F">
        <w:rPr>
          <w:color w:val="000000" w:themeColor="text1"/>
          <w:lang w:val="en-GB"/>
        </w:rPr>
        <w:t xml:space="preserve"> into practice</w:t>
      </w:r>
      <w:r w:rsidR="00AB0803" w:rsidRPr="005F6C5F">
        <w:rPr>
          <w:color w:val="000000" w:themeColor="text1"/>
          <w:lang w:val="en-GB"/>
        </w:rPr>
        <w:t xml:space="preserve">, they need to be translated </w:t>
      </w:r>
      <w:r w:rsidR="00FE52B4" w:rsidRPr="005F6C5F">
        <w:rPr>
          <w:color w:val="000000" w:themeColor="text1"/>
          <w:lang w:val="en-GB"/>
        </w:rPr>
        <w:t>first</w:t>
      </w:r>
      <w:r w:rsidR="00AB0803" w:rsidRPr="005F6C5F">
        <w:rPr>
          <w:color w:val="000000" w:themeColor="text1"/>
          <w:lang w:val="en-GB"/>
        </w:rPr>
        <w:t xml:space="preserve">. </w:t>
      </w:r>
      <w:r w:rsidR="00FE52B4" w:rsidRPr="005F6C5F">
        <w:rPr>
          <w:color w:val="000000" w:themeColor="text1"/>
          <w:lang w:val="en-GB"/>
        </w:rPr>
        <w:t>In this sense, the operation of translation emerges as quite different from that of implementation. Translation involves interpretation, negotiation, sense-making, mediation and struggle (</w:t>
      </w:r>
      <w:r w:rsidR="00FE52B4" w:rsidRPr="005F6C5F">
        <w:rPr>
          <w:i/>
          <w:color w:val="000000" w:themeColor="text1"/>
          <w:lang w:val="en-GB"/>
        </w:rPr>
        <w:t>Ibidem</w:t>
      </w:r>
      <w:r w:rsidR="00FE52B4" w:rsidRPr="005F6C5F">
        <w:rPr>
          <w:color w:val="000000" w:themeColor="text1"/>
          <w:lang w:val="en-GB"/>
        </w:rPr>
        <w:t xml:space="preserve">). </w:t>
      </w:r>
      <w:r w:rsidR="002D5259" w:rsidRPr="005F6C5F">
        <w:rPr>
          <w:color w:val="000000" w:themeColor="text1"/>
          <w:lang w:val="en-GB"/>
        </w:rPr>
        <w:t xml:space="preserve">It is after these operations have taken place that policy can be implemented. </w:t>
      </w:r>
      <w:r w:rsidR="00AB0803" w:rsidRPr="005F6C5F">
        <w:rPr>
          <w:color w:val="000000" w:themeColor="text1"/>
          <w:lang w:val="en-GB"/>
        </w:rPr>
        <w:t xml:space="preserve">The ‘need for translation’ clearly emerged from </w:t>
      </w:r>
      <w:r w:rsidR="00FE52B4" w:rsidRPr="005F6C5F">
        <w:rPr>
          <w:color w:val="000000" w:themeColor="text1"/>
          <w:lang w:val="en-GB"/>
        </w:rPr>
        <w:t>my fieldwork</w:t>
      </w:r>
      <w:r w:rsidR="00AB0803" w:rsidRPr="005F6C5F">
        <w:rPr>
          <w:color w:val="000000" w:themeColor="text1"/>
          <w:lang w:val="en-GB"/>
        </w:rPr>
        <w:t xml:space="preserve">. </w:t>
      </w:r>
    </w:p>
    <w:p w14:paraId="1A96EC95" w14:textId="6B2A5A44" w:rsidR="002D5259" w:rsidRPr="005F6C5F" w:rsidRDefault="00C03A9E" w:rsidP="00393E33">
      <w:pPr>
        <w:spacing w:after="120" w:line="360" w:lineRule="auto"/>
        <w:jc w:val="both"/>
        <w:rPr>
          <w:color w:val="000000" w:themeColor="text1"/>
          <w:lang w:val="en-GB"/>
        </w:rPr>
      </w:pPr>
      <w:r w:rsidRPr="005F6C5F">
        <w:rPr>
          <w:color w:val="000000" w:themeColor="text1"/>
          <w:lang w:val="en-GB"/>
        </w:rPr>
        <w:t xml:space="preserve">All actors of a policy network do some translation work. This applies </w:t>
      </w:r>
      <w:proofErr w:type="gramStart"/>
      <w:r w:rsidRPr="005F6C5F">
        <w:rPr>
          <w:color w:val="000000" w:themeColor="text1"/>
          <w:lang w:val="en-GB"/>
        </w:rPr>
        <w:t>to choice</w:t>
      </w:r>
      <w:proofErr w:type="gramEnd"/>
      <w:r w:rsidRPr="005F6C5F">
        <w:rPr>
          <w:color w:val="000000" w:themeColor="text1"/>
          <w:lang w:val="en-GB"/>
        </w:rPr>
        <w:t xml:space="preserve"> agendas too: all the actors I listed above somehow do some translation work. However, some more than others influence the way policies gets implemented into practice and, as such, some more than other</w:t>
      </w:r>
      <w:r w:rsidR="00F72749" w:rsidRPr="005F6C5F">
        <w:rPr>
          <w:color w:val="000000" w:themeColor="text1"/>
          <w:lang w:val="en-GB"/>
        </w:rPr>
        <w:t>s</w:t>
      </w:r>
      <w:r w:rsidRPr="005F6C5F">
        <w:rPr>
          <w:color w:val="000000" w:themeColor="text1"/>
          <w:lang w:val="en-GB"/>
        </w:rPr>
        <w:t xml:space="preserve"> play a vital role in influencing policy effects. </w:t>
      </w:r>
    </w:p>
    <w:p w14:paraId="2A3EB44B" w14:textId="7E7B27E8" w:rsidR="00F72749" w:rsidRPr="005F6C5F" w:rsidRDefault="00C55A86" w:rsidP="00393E33">
      <w:pPr>
        <w:spacing w:after="120" w:line="360" w:lineRule="auto"/>
        <w:jc w:val="both"/>
        <w:rPr>
          <w:color w:val="000000" w:themeColor="text1"/>
          <w:lang w:val="en-GB"/>
        </w:rPr>
      </w:pPr>
      <w:r w:rsidRPr="005F6C5F">
        <w:rPr>
          <w:color w:val="000000" w:themeColor="text1"/>
          <w:lang w:val="en-GB"/>
        </w:rPr>
        <w:t>In the case of choice agendas in England, I identified in consultanc</w:t>
      </w:r>
      <w:r w:rsidR="00444B61" w:rsidRPr="005F6C5F">
        <w:rPr>
          <w:color w:val="000000" w:themeColor="text1"/>
          <w:lang w:val="en-GB"/>
        </w:rPr>
        <w:t>ies</w:t>
      </w:r>
      <w:r w:rsidRPr="005F6C5F">
        <w:rPr>
          <w:color w:val="000000" w:themeColor="text1"/>
          <w:lang w:val="en-GB"/>
        </w:rPr>
        <w:t xml:space="preserve"> – both from private </w:t>
      </w:r>
      <w:r w:rsidR="00444B61" w:rsidRPr="005F6C5F">
        <w:rPr>
          <w:color w:val="000000" w:themeColor="text1"/>
          <w:lang w:val="en-GB"/>
        </w:rPr>
        <w:t>and</w:t>
      </w:r>
      <w:r w:rsidRPr="005F6C5F">
        <w:rPr>
          <w:color w:val="000000" w:themeColor="text1"/>
          <w:lang w:val="en-GB"/>
        </w:rPr>
        <w:t xml:space="preserve"> third sector </w:t>
      </w:r>
      <w:r w:rsidR="00444B61" w:rsidRPr="005F6C5F">
        <w:rPr>
          <w:color w:val="000000" w:themeColor="text1"/>
          <w:lang w:val="en-GB"/>
        </w:rPr>
        <w:t xml:space="preserve">organisations - </w:t>
      </w:r>
      <w:r w:rsidRPr="005F6C5F">
        <w:rPr>
          <w:color w:val="000000" w:themeColor="text1"/>
          <w:lang w:val="en-GB"/>
        </w:rPr>
        <w:t>actor</w:t>
      </w:r>
      <w:r w:rsidR="00444B61" w:rsidRPr="005F6C5F">
        <w:rPr>
          <w:color w:val="000000" w:themeColor="text1"/>
          <w:lang w:val="en-GB"/>
        </w:rPr>
        <w:t>s</w:t>
      </w:r>
      <w:r w:rsidRPr="005F6C5F">
        <w:rPr>
          <w:color w:val="000000" w:themeColor="text1"/>
          <w:lang w:val="en-GB"/>
        </w:rPr>
        <w:t xml:space="preserve"> with a very high degree of influence in the work of policy translation. </w:t>
      </w:r>
    </w:p>
    <w:p w14:paraId="73591A2A" w14:textId="5A5174F1" w:rsidR="00444B61" w:rsidRPr="005F6C5F" w:rsidRDefault="00444B61" w:rsidP="00393E33">
      <w:pPr>
        <w:spacing w:after="120" w:line="360" w:lineRule="auto"/>
        <w:jc w:val="both"/>
        <w:rPr>
          <w:color w:val="000000" w:themeColor="text1"/>
          <w:lang w:val="en-GB"/>
        </w:rPr>
      </w:pPr>
      <w:r w:rsidRPr="005F6C5F">
        <w:rPr>
          <w:color w:val="000000" w:themeColor="text1"/>
          <w:lang w:val="en-GB"/>
        </w:rPr>
        <w:t>A common practice in English local authorities is in fact that of contracting out choice agendas’ translation to external organisations both from the private for-profit and non-for-profit sector. The resort to such organisations is usually explained by the need to make use o</w:t>
      </w:r>
      <w:r w:rsidR="00466BE0" w:rsidRPr="005F6C5F">
        <w:rPr>
          <w:color w:val="000000" w:themeColor="text1"/>
          <w:lang w:val="en-GB"/>
        </w:rPr>
        <w:t xml:space="preserve">f external expertise at a time when local authorities have to cope with pressing agendas and scarce resources. </w:t>
      </w:r>
    </w:p>
    <w:p w14:paraId="02002F40" w14:textId="0183C93F" w:rsidR="00E10F75" w:rsidRPr="005F6C5F" w:rsidRDefault="00E10F75" w:rsidP="005F6C5F">
      <w:pPr>
        <w:spacing w:after="120" w:line="360" w:lineRule="auto"/>
        <w:ind w:firstLine="708"/>
        <w:jc w:val="both"/>
        <w:rPr>
          <w:color w:val="000000" w:themeColor="text1"/>
          <w:u w:val="single"/>
          <w:lang w:val="en-GB"/>
        </w:rPr>
      </w:pPr>
      <w:r w:rsidRPr="005F6C5F">
        <w:rPr>
          <w:color w:val="000000" w:themeColor="text1"/>
          <w:u w:val="single"/>
          <w:lang w:val="en-GB"/>
        </w:rPr>
        <w:t>Translation: three different policy models</w:t>
      </w:r>
    </w:p>
    <w:p w14:paraId="658D3246" w14:textId="1B0EF9FA" w:rsidR="00466BE0" w:rsidRPr="005F6C5F" w:rsidRDefault="00466BE0" w:rsidP="00393E33">
      <w:pPr>
        <w:spacing w:after="120" w:line="360" w:lineRule="auto"/>
        <w:jc w:val="both"/>
        <w:rPr>
          <w:color w:val="000000" w:themeColor="text1"/>
          <w:lang w:val="en-GB"/>
        </w:rPr>
      </w:pPr>
      <w:r w:rsidRPr="005F6C5F">
        <w:rPr>
          <w:color w:val="000000" w:themeColor="text1"/>
          <w:lang w:val="en-GB"/>
        </w:rPr>
        <w:t>‘Network immersion’ (Peck and Theodore 2012) allowed me to better analyse the role of these actors</w:t>
      </w:r>
      <w:r w:rsidR="00056BDA" w:rsidRPr="005F6C5F">
        <w:rPr>
          <w:color w:val="000000" w:themeColor="text1"/>
          <w:lang w:val="en-GB"/>
        </w:rPr>
        <w:t xml:space="preserve">. </w:t>
      </w:r>
      <w:r w:rsidRPr="005F6C5F">
        <w:rPr>
          <w:color w:val="000000" w:themeColor="text1"/>
          <w:lang w:val="en-GB"/>
        </w:rPr>
        <w:t xml:space="preserve">I interviewed managers and workers from </w:t>
      </w:r>
      <w:r w:rsidR="000B0F7C" w:rsidRPr="005F6C5F">
        <w:rPr>
          <w:color w:val="000000" w:themeColor="text1"/>
          <w:lang w:val="en-GB"/>
        </w:rPr>
        <w:t xml:space="preserve">consultancy organisations </w:t>
      </w:r>
      <w:r w:rsidRPr="005F6C5F">
        <w:rPr>
          <w:color w:val="000000" w:themeColor="text1"/>
          <w:lang w:val="en-GB"/>
        </w:rPr>
        <w:t>involved with policy translation on the behalf of local authorities</w:t>
      </w:r>
      <w:r w:rsidR="00056BDA" w:rsidRPr="005F6C5F">
        <w:rPr>
          <w:color w:val="000000" w:themeColor="text1"/>
          <w:lang w:val="en-GB"/>
        </w:rPr>
        <w:t xml:space="preserve">, </w:t>
      </w:r>
      <w:r w:rsidRPr="005F6C5F">
        <w:rPr>
          <w:color w:val="000000" w:themeColor="text1"/>
          <w:lang w:val="en-GB"/>
        </w:rPr>
        <w:t xml:space="preserve">I attended some of their events and I analysed some of the documentary material (training, blogs, articles, podcast) they produce. </w:t>
      </w:r>
    </w:p>
    <w:p w14:paraId="2B2649EE" w14:textId="359CF68E" w:rsidR="000E5A82" w:rsidRPr="005F6C5F" w:rsidRDefault="000B0F7C" w:rsidP="00393E33">
      <w:pPr>
        <w:spacing w:after="120" w:line="360" w:lineRule="auto"/>
        <w:jc w:val="both"/>
        <w:rPr>
          <w:color w:val="000000" w:themeColor="text1"/>
          <w:lang w:val="en-GB"/>
        </w:rPr>
      </w:pPr>
      <w:r w:rsidRPr="005F6C5F">
        <w:rPr>
          <w:color w:val="000000" w:themeColor="text1"/>
          <w:lang w:val="en-GB"/>
        </w:rPr>
        <w:lastRenderedPageBreak/>
        <w:t xml:space="preserve">A preliminary conclusion I can draw from the material so far collected and analysed is that these organisations are both social enterprises, charities and private for-profit organisations of different dimensions. They act as policy influencers </w:t>
      </w:r>
      <w:r w:rsidR="000E5A82" w:rsidRPr="005F6C5F">
        <w:rPr>
          <w:color w:val="000000" w:themeColor="text1"/>
          <w:lang w:val="en-GB"/>
        </w:rPr>
        <w:t xml:space="preserve">with </w:t>
      </w:r>
      <w:r w:rsidRPr="005F6C5F">
        <w:rPr>
          <w:color w:val="000000" w:themeColor="text1"/>
          <w:lang w:val="en-GB"/>
        </w:rPr>
        <w:t>national</w:t>
      </w:r>
      <w:r w:rsidR="000E5A82" w:rsidRPr="005F6C5F">
        <w:rPr>
          <w:color w:val="000000" w:themeColor="text1"/>
          <w:lang w:val="en-GB"/>
        </w:rPr>
        <w:t>-</w:t>
      </w:r>
      <w:r w:rsidRPr="005F6C5F">
        <w:rPr>
          <w:color w:val="000000" w:themeColor="text1"/>
          <w:lang w:val="en-GB"/>
        </w:rPr>
        <w:t xml:space="preserve">level </w:t>
      </w:r>
      <w:r w:rsidR="000E5A82" w:rsidRPr="005F6C5F">
        <w:rPr>
          <w:color w:val="000000" w:themeColor="text1"/>
          <w:lang w:val="en-GB"/>
        </w:rPr>
        <w:t xml:space="preserve">targets </w:t>
      </w:r>
      <w:r w:rsidRPr="005F6C5F">
        <w:rPr>
          <w:color w:val="000000" w:themeColor="text1"/>
          <w:lang w:val="en-GB"/>
        </w:rPr>
        <w:t>rather than as local-partner</w:t>
      </w:r>
      <w:r w:rsidR="000E5A82" w:rsidRPr="005F6C5F">
        <w:rPr>
          <w:color w:val="000000" w:themeColor="text1"/>
          <w:lang w:val="en-GB"/>
        </w:rPr>
        <w:t>s</w:t>
      </w:r>
      <w:r w:rsidRPr="005F6C5F">
        <w:rPr>
          <w:color w:val="000000" w:themeColor="text1"/>
          <w:lang w:val="en-GB"/>
        </w:rPr>
        <w:t xml:space="preserve"> for </w:t>
      </w:r>
      <w:r w:rsidR="000E5A82" w:rsidRPr="005F6C5F">
        <w:rPr>
          <w:color w:val="000000" w:themeColor="text1"/>
          <w:lang w:val="en-GB"/>
        </w:rPr>
        <w:t xml:space="preserve">specific </w:t>
      </w:r>
      <w:r w:rsidRPr="005F6C5F">
        <w:rPr>
          <w:color w:val="000000" w:themeColor="text1"/>
          <w:lang w:val="en-GB"/>
        </w:rPr>
        <w:t xml:space="preserve">local authorities. </w:t>
      </w:r>
      <w:r w:rsidR="000E5A82" w:rsidRPr="005F6C5F">
        <w:rPr>
          <w:color w:val="000000" w:themeColor="text1"/>
          <w:lang w:val="en-GB"/>
        </w:rPr>
        <w:t xml:space="preserve">Their work is in fact based on the identification of policy </w:t>
      </w:r>
      <w:r w:rsidR="00056BDA" w:rsidRPr="005F6C5F">
        <w:rPr>
          <w:color w:val="000000" w:themeColor="text1"/>
          <w:lang w:val="en-GB"/>
        </w:rPr>
        <w:t>models</w:t>
      </w:r>
      <w:r w:rsidR="000E5A82" w:rsidRPr="005F6C5F">
        <w:rPr>
          <w:color w:val="000000" w:themeColor="text1"/>
          <w:lang w:val="en-GB"/>
        </w:rPr>
        <w:t xml:space="preserve"> to be spread and sold to local authorities across the country. </w:t>
      </w:r>
    </w:p>
    <w:p w14:paraId="4627FBCE" w14:textId="61894C21" w:rsidR="00466BE0" w:rsidRPr="005F6C5F" w:rsidRDefault="000E5A82" w:rsidP="00393E33">
      <w:pPr>
        <w:spacing w:after="120" w:line="360" w:lineRule="auto"/>
        <w:jc w:val="both"/>
        <w:rPr>
          <w:color w:val="000000" w:themeColor="text1"/>
          <w:lang w:val="en-GB"/>
        </w:rPr>
      </w:pPr>
      <w:r w:rsidRPr="005F6C5F">
        <w:rPr>
          <w:color w:val="000000" w:themeColor="text1"/>
          <w:lang w:val="en-GB"/>
        </w:rPr>
        <w:t xml:space="preserve">I identified </w:t>
      </w:r>
      <w:r w:rsidR="00876023" w:rsidRPr="005F6C5F">
        <w:rPr>
          <w:color w:val="000000" w:themeColor="text1"/>
          <w:lang w:val="en-GB"/>
        </w:rPr>
        <w:t xml:space="preserve">so far </w:t>
      </w:r>
      <w:r w:rsidRPr="005F6C5F">
        <w:rPr>
          <w:color w:val="000000" w:themeColor="text1"/>
          <w:lang w:val="en-GB"/>
        </w:rPr>
        <w:t xml:space="preserve">three main policy models which have </w:t>
      </w:r>
      <w:r w:rsidR="00876023" w:rsidRPr="005F6C5F">
        <w:rPr>
          <w:color w:val="000000" w:themeColor="text1"/>
          <w:lang w:val="en-GB"/>
        </w:rPr>
        <w:t>trave</w:t>
      </w:r>
      <w:r w:rsidRPr="005F6C5F">
        <w:rPr>
          <w:color w:val="000000" w:themeColor="text1"/>
          <w:lang w:val="en-GB"/>
        </w:rPr>
        <w:t xml:space="preserve">lled </w:t>
      </w:r>
      <w:r w:rsidR="00056BDA" w:rsidRPr="005F6C5F">
        <w:rPr>
          <w:color w:val="000000" w:themeColor="text1"/>
          <w:lang w:val="en-GB"/>
        </w:rPr>
        <w:t>(</w:t>
      </w:r>
      <w:r w:rsidRPr="005F6C5F">
        <w:rPr>
          <w:color w:val="000000" w:themeColor="text1"/>
          <w:lang w:val="en-GB"/>
        </w:rPr>
        <w:t>and are still travelling</w:t>
      </w:r>
      <w:r w:rsidR="00056BDA" w:rsidRPr="005F6C5F">
        <w:rPr>
          <w:color w:val="000000" w:themeColor="text1"/>
          <w:lang w:val="en-GB"/>
        </w:rPr>
        <w:t>)</w:t>
      </w:r>
      <w:r w:rsidRPr="005F6C5F">
        <w:rPr>
          <w:color w:val="000000" w:themeColor="text1"/>
          <w:lang w:val="en-GB"/>
        </w:rPr>
        <w:t xml:space="preserve"> across the country and which I named as </w:t>
      </w:r>
      <w:r w:rsidR="00056BDA" w:rsidRPr="005F6C5F">
        <w:rPr>
          <w:color w:val="000000" w:themeColor="text1"/>
          <w:lang w:val="en-GB"/>
        </w:rPr>
        <w:t xml:space="preserve">follows: </w:t>
      </w:r>
      <w:r w:rsidRPr="005F6C5F">
        <w:rPr>
          <w:color w:val="000000" w:themeColor="text1"/>
          <w:lang w:val="en-GB"/>
        </w:rPr>
        <w:t>the rational individual model, the brokerage model and the informal network model</w:t>
      </w:r>
      <w:r w:rsidR="007B5A9E" w:rsidRPr="005F6C5F">
        <w:rPr>
          <w:color w:val="000000" w:themeColor="text1"/>
          <w:lang w:val="en-GB"/>
        </w:rPr>
        <w:t xml:space="preserve"> of choice</w:t>
      </w:r>
      <w:r w:rsidRPr="005F6C5F">
        <w:rPr>
          <w:color w:val="000000" w:themeColor="text1"/>
          <w:lang w:val="en-GB"/>
        </w:rPr>
        <w:t xml:space="preserve">. </w:t>
      </w:r>
    </w:p>
    <w:p w14:paraId="40FE49B0" w14:textId="415F1DFF" w:rsidR="00056BDA" w:rsidRPr="005F6C5F" w:rsidRDefault="00056BDA" w:rsidP="00393E33">
      <w:pPr>
        <w:spacing w:after="120" w:line="360" w:lineRule="auto"/>
        <w:jc w:val="both"/>
        <w:rPr>
          <w:color w:val="000000" w:themeColor="text1"/>
          <w:lang w:val="en-GB"/>
        </w:rPr>
      </w:pPr>
      <w:r w:rsidRPr="005F6C5F">
        <w:rPr>
          <w:color w:val="000000" w:themeColor="text1"/>
          <w:lang w:val="en-GB"/>
        </w:rPr>
        <w:t xml:space="preserve">The </w:t>
      </w:r>
      <w:r w:rsidRPr="005F6C5F">
        <w:rPr>
          <w:i/>
          <w:color w:val="000000" w:themeColor="text1"/>
          <w:lang w:val="en-GB"/>
        </w:rPr>
        <w:t>rational individual model</w:t>
      </w:r>
      <w:r w:rsidRPr="005F6C5F">
        <w:rPr>
          <w:color w:val="000000" w:themeColor="text1"/>
          <w:lang w:val="en-GB"/>
        </w:rPr>
        <w:t xml:space="preserve"> draws on the work of </w:t>
      </w:r>
      <w:r w:rsidRPr="005F6C5F">
        <w:rPr>
          <w:i/>
          <w:color w:val="000000" w:themeColor="text1"/>
          <w:lang w:val="en-GB"/>
        </w:rPr>
        <w:t>InControl</w:t>
      </w:r>
      <w:r w:rsidRPr="005F6C5F">
        <w:rPr>
          <w:color w:val="000000" w:themeColor="text1"/>
          <w:lang w:val="en-GB"/>
        </w:rPr>
        <w:t xml:space="preserve">, the charity that can be considered </w:t>
      </w:r>
      <w:r w:rsidR="0030064C" w:rsidRPr="005F6C5F">
        <w:rPr>
          <w:color w:val="000000" w:themeColor="text1"/>
          <w:lang w:val="en-GB"/>
        </w:rPr>
        <w:t xml:space="preserve">as </w:t>
      </w:r>
      <w:r w:rsidRPr="005F6C5F">
        <w:rPr>
          <w:color w:val="000000" w:themeColor="text1"/>
          <w:lang w:val="en-GB"/>
        </w:rPr>
        <w:t xml:space="preserve">the champion of Personalisation in the entire UK and which invented </w:t>
      </w:r>
      <w:r w:rsidR="0030064C" w:rsidRPr="005F6C5F">
        <w:rPr>
          <w:color w:val="000000" w:themeColor="text1"/>
          <w:lang w:val="en-GB"/>
        </w:rPr>
        <w:t xml:space="preserve">and developed </w:t>
      </w:r>
      <w:r w:rsidRPr="005F6C5F">
        <w:rPr>
          <w:color w:val="000000" w:themeColor="text1"/>
          <w:lang w:val="en-GB"/>
        </w:rPr>
        <w:t xml:space="preserve">the indicative budget (IB) and resource allocation system (RAS) tools as </w:t>
      </w:r>
      <w:proofErr w:type="spellStart"/>
      <w:r w:rsidRPr="005F6C5F">
        <w:rPr>
          <w:i/>
          <w:color w:val="000000" w:themeColor="text1"/>
          <w:lang w:val="en-GB"/>
        </w:rPr>
        <w:t>conditio</w:t>
      </w:r>
      <w:proofErr w:type="spellEnd"/>
      <w:r w:rsidRPr="005F6C5F">
        <w:rPr>
          <w:i/>
          <w:color w:val="000000" w:themeColor="text1"/>
          <w:lang w:val="en-GB"/>
        </w:rPr>
        <w:t xml:space="preserve"> sine qua non</w:t>
      </w:r>
      <w:r w:rsidRPr="005F6C5F">
        <w:rPr>
          <w:color w:val="000000" w:themeColor="text1"/>
          <w:lang w:val="en-GB"/>
        </w:rPr>
        <w:t xml:space="preserve"> for choice and control to be offered to and exercised by users of services. The idea is that for real choice to be exercised, users of services should be given an </w:t>
      </w:r>
      <w:r w:rsidR="007B5A9E" w:rsidRPr="005F6C5F">
        <w:rPr>
          <w:color w:val="000000" w:themeColor="text1"/>
          <w:lang w:val="en-GB"/>
        </w:rPr>
        <w:t xml:space="preserve">upfront allocation, or </w:t>
      </w:r>
      <w:r w:rsidRPr="005F6C5F">
        <w:rPr>
          <w:color w:val="000000" w:themeColor="text1"/>
          <w:lang w:val="en-GB"/>
        </w:rPr>
        <w:t xml:space="preserve">indicative budget, hence an indication of the resources available in order for their needs to be met. Choice, in this model, belongs to single individuals who can exercise it in a market – or quasi-market – of care services. The trust </w:t>
      </w:r>
      <w:r w:rsidR="007B5A9E" w:rsidRPr="005F6C5F">
        <w:rPr>
          <w:color w:val="000000" w:themeColor="text1"/>
          <w:lang w:val="en-GB"/>
        </w:rPr>
        <w:t>i</w:t>
      </w:r>
      <w:r w:rsidRPr="005F6C5F">
        <w:rPr>
          <w:color w:val="000000" w:themeColor="text1"/>
          <w:lang w:val="en-GB"/>
        </w:rPr>
        <w:t>n individual’ ability to make decision</w:t>
      </w:r>
      <w:r w:rsidR="00C167F6" w:rsidRPr="005F6C5F">
        <w:rPr>
          <w:color w:val="000000" w:themeColor="text1"/>
          <w:lang w:val="en-GB"/>
        </w:rPr>
        <w:t>s</w:t>
      </w:r>
      <w:r w:rsidRPr="005F6C5F">
        <w:rPr>
          <w:color w:val="000000" w:themeColor="text1"/>
          <w:lang w:val="en-GB"/>
        </w:rPr>
        <w:t xml:space="preserve"> in their best interest</w:t>
      </w:r>
      <w:r w:rsidR="00C167F6" w:rsidRPr="005F6C5F">
        <w:rPr>
          <w:color w:val="000000" w:themeColor="text1"/>
          <w:lang w:val="en-GB"/>
        </w:rPr>
        <w:t xml:space="preserve"> -</w:t>
      </w:r>
      <w:r w:rsidRPr="005F6C5F">
        <w:rPr>
          <w:color w:val="000000" w:themeColor="text1"/>
          <w:lang w:val="en-GB"/>
        </w:rPr>
        <w:t xml:space="preserve"> with support if needed</w:t>
      </w:r>
      <w:r w:rsidR="00C167F6" w:rsidRPr="005F6C5F">
        <w:rPr>
          <w:color w:val="000000" w:themeColor="text1"/>
          <w:lang w:val="en-GB"/>
        </w:rPr>
        <w:t xml:space="preserve"> -</w:t>
      </w:r>
      <w:r w:rsidRPr="005F6C5F">
        <w:rPr>
          <w:color w:val="000000" w:themeColor="text1"/>
          <w:lang w:val="en-GB"/>
        </w:rPr>
        <w:t xml:space="preserve"> and in markets to respond to such choices</w:t>
      </w:r>
      <w:r w:rsidR="00876023" w:rsidRPr="005F6C5F">
        <w:rPr>
          <w:color w:val="000000" w:themeColor="text1"/>
          <w:lang w:val="en-GB"/>
        </w:rPr>
        <w:t xml:space="preserve"> goes together, in this model, with the mistrust in public services </w:t>
      </w:r>
      <w:r w:rsidR="00592CB5" w:rsidRPr="005F6C5F">
        <w:rPr>
          <w:color w:val="000000" w:themeColor="text1"/>
          <w:lang w:val="en-GB"/>
        </w:rPr>
        <w:t>in influencing users-providers dynamics</w:t>
      </w:r>
      <w:r w:rsidRPr="005F6C5F">
        <w:rPr>
          <w:color w:val="000000" w:themeColor="text1"/>
          <w:lang w:val="en-GB"/>
        </w:rPr>
        <w:t xml:space="preserve">. </w:t>
      </w:r>
      <w:r w:rsidR="00592CB5" w:rsidRPr="005F6C5F">
        <w:rPr>
          <w:color w:val="000000" w:themeColor="text1"/>
          <w:lang w:val="en-GB"/>
        </w:rPr>
        <w:t>U</w:t>
      </w:r>
      <w:r w:rsidRPr="005F6C5F">
        <w:rPr>
          <w:color w:val="000000" w:themeColor="text1"/>
          <w:lang w:val="en-GB"/>
        </w:rPr>
        <w:t>pfront allocation</w:t>
      </w:r>
      <w:r w:rsidR="00592CB5" w:rsidRPr="005F6C5F">
        <w:rPr>
          <w:color w:val="000000" w:themeColor="text1"/>
          <w:lang w:val="en-GB"/>
        </w:rPr>
        <w:t>s</w:t>
      </w:r>
      <w:r w:rsidRPr="005F6C5F">
        <w:rPr>
          <w:color w:val="000000" w:themeColor="text1"/>
          <w:lang w:val="en-GB"/>
        </w:rPr>
        <w:t xml:space="preserve"> </w:t>
      </w:r>
      <w:r w:rsidR="00876023" w:rsidRPr="005F6C5F">
        <w:rPr>
          <w:color w:val="000000" w:themeColor="text1"/>
          <w:lang w:val="en-GB"/>
        </w:rPr>
        <w:t>(IB)</w:t>
      </w:r>
      <w:r w:rsidR="00592CB5" w:rsidRPr="005F6C5F">
        <w:rPr>
          <w:color w:val="000000" w:themeColor="text1"/>
          <w:lang w:val="en-GB"/>
        </w:rPr>
        <w:t>, however, in order</w:t>
      </w:r>
      <w:r w:rsidR="00876023" w:rsidRPr="005F6C5F">
        <w:rPr>
          <w:color w:val="000000" w:themeColor="text1"/>
          <w:lang w:val="en-GB"/>
        </w:rPr>
        <w:t xml:space="preserve"> </w:t>
      </w:r>
      <w:r w:rsidRPr="005F6C5F">
        <w:rPr>
          <w:color w:val="000000" w:themeColor="text1"/>
          <w:lang w:val="en-GB"/>
        </w:rPr>
        <w:t xml:space="preserve">to be provided, </w:t>
      </w:r>
      <w:r w:rsidR="00592CB5" w:rsidRPr="005F6C5F">
        <w:rPr>
          <w:color w:val="000000" w:themeColor="text1"/>
          <w:lang w:val="en-GB"/>
        </w:rPr>
        <w:t>rely</w:t>
      </w:r>
      <w:r w:rsidRPr="005F6C5F">
        <w:rPr>
          <w:color w:val="000000" w:themeColor="text1"/>
          <w:lang w:val="en-GB"/>
        </w:rPr>
        <w:t xml:space="preserve"> </w:t>
      </w:r>
      <w:r w:rsidR="00592CB5" w:rsidRPr="005F6C5F">
        <w:rPr>
          <w:color w:val="000000" w:themeColor="text1"/>
          <w:lang w:val="en-GB"/>
        </w:rPr>
        <w:t xml:space="preserve">on the development by local authorities of </w:t>
      </w:r>
      <w:r w:rsidR="007B5A9E" w:rsidRPr="005F6C5F">
        <w:rPr>
          <w:color w:val="000000" w:themeColor="text1"/>
          <w:lang w:val="en-GB"/>
        </w:rPr>
        <w:t>new</w:t>
      </w:r>
      <w:r w:rsidRPr="005F6C5F">
        <w:rPr>
          <w:color w:val="000000" w:themeColor="text1"/>
          <w:lang w:val="en-GB"/>
        </w:rPr>
        <w:t xml:space="preserve"> resource allocation system</w:t>
      </w:r>
      <w:r w:rsidR="007B5A9E" w:rsidRPr="005F6C5F">
        <w:rPr>
          <w:color w:val="000000" w:themeColor="text1"/>
          <w:lang w:val="en-GB"/>
        </w:rPr>
        <w:t>s</w:t>
      </w:r>
      <w:r w:rsidRPr="005F6C5F">
        <w:rPr>
          <w:color w:val="000000" w:themeColor="text1"/>
          <w:lang w:val="en-GB"/>
        </w:rPr>
        <w:t xml:space="preserve"> </w:t>
      </w:r>
      <w:r w:rsidR="00592CB5" w:rsidRPr="005F6C5F">
        <w:rPr>
          <w:color w:val="000000" w:themeColor="text1"/>
          <w:lang w:val="en-GB"/>
        </w:rPr>
        <w:t xml:space="preserve">capable of </w:t>
      </w:r>
      <w:r w:rsidRPr="005F6C5F">
        <w:rPr>
          <w:color w:val="000000" w:themeColor="text1"/>
          <w:lang w:val="en-GB"/>
        </w:rPr>
        <w:t>‘cost</w:t>
      </w:r>
      <w:r w:rsidR="00592CB5" w:rsidRPr="005F6C5F">
        <w:rPr>
          <w:color w:val="000000" w:themeColor="text1"/>
          <w:lang w:val="en-GB"/>
        </w:rPr>
        <w:t>ing</w:t>
      </w:r>
      <w:r w:rsidRPr="005F6C5F">
        <w:rPr>
          <w:color w:val="000000" w:themeColor="text1"/>
          <w:lang w:val="en-GB"/>
        </w:rPr>
        <w:t xml:space="preserve"> personal needs</w:t>
      </w:r>
      <w:r w:rsidR="00C167F6" w:rsidRPr="005F6C5F">
        <w:rPr>
          <w:color w:val="000000" w:themeColor="text1"/>
          <w:lang w:val="en-GB"/>
        </w:rPr>
        <w:t xml:space="preserve">’ or, in other words, </w:t>
      </w:r>
      <w:r w:rsidR="00592CB5" w:rsidRPr="005F6C5F">
        <w:rPr>
          <w:color w:val="000000" w:themeColor="text1"/>
          <w:lang w:val="en-GB"/>
        </w:rPr>
        <w:t>of</w:t>
      </w:r>
      <w:r w:rsidR="00C167F6" w:rsidRPr="005F6C5F">
        <w:rPr>
          <w:color w:val="000000" w:themeColor="text1"/>
          <w:lang w:val="en-GB"/>
        </w:rPr>
        <w:t xml:space="preserve"> </w:t>
      </w:r>
      <w:r w:rsidRPr="005F6C5F">
        <w:rPr>
          <w:color w:val="000000" w:themeColor="text1"/>
          <w:lang w:val="en-GB"/>
        </w:rPr>
        <w:t>match</w:t>
      </w:r>
      <w:r w:rsidR="00592CB5" w:rsidRPr="005F6C5F">
        <w:rPr>
          <w:color w:val="000000" w:themeColor="text1"/>
          <w:lang w:val="en-GB"/>
        </w:rPr>
        <w:t>ing</w:t>
      </w:r>
      <w:r w:rsidRPr="005F6C5F">
        <w:rPr>
          <w:color w:val="000000" w:themeColor="text1"/>
          <w:lang w:val="en-GB"/>
        </w:rPr>
        <w:t xml:space="preserve"> </w:t>
      </w:r>
      <w:r w:rsidR="00876023" w:rsidRPr="005F6C5F">
        <w:rPr>
          <w:color w:val="000000" w:themeColor="text1"/>
          <w:lang w:val="en-GB"/>
        </w:rPr>
        <w:t xml:space="preserve">individual </w:t>
      </w:r>
      <w:r w:rsidRPr="005F6C5F">
        <w:rPr>
          <w:color w:val="000000" w:themeColor="text1"/>
          <w:lang w:val="en-GB"/>
        </w:rPr>
        <w:t xml:space="preserve">needs with </w:t>
      </w:r>
      <w:r w:rsidR="00876023" w:rsidRPr="005F6C5F">
        <w:rPr>
          <w:color w:val="000000" w:themeColor="text1"/>
          <w:lang w:val="en-GB"/>
        </w:rPr>
        <w:t>a</w:t>
      </w:r>
      <w:r w:rsidRPr="005F6C5F">
        <w:rPr>
          <w:color w:val="000000" w:themeColor="text1"/>
          <w:lang w:val="en-GB"/>
        </w:rPr>
        <w:t xml:space="preserve"> money equivalent. </w:t>
      </w:r>
      <w:r w:rsidRPr="005F6C5F">
        <w:rPr>
          <w:i/>
          <w:color w:val="000000" w:themeColor="text1"/>
          <w:lang w:val="en-GB"/>
        </w:rPr>
        <w:t>InControl</w:t>
      </w:r>
      <w:r w:rsidRPr="005F6C5F">
        <w:rPr>
          <w:color w:val="000000" w:themeColor="text1"/>
          <w:lang w:val="en-GB"/>
        </w:rPr>
        <w:t xml:space="preserve"> has supported</w:t>
      </w:r>
      <w:r w:rsidR="00C167F6" w:rsidRPr="005F6C5F">
        <w:rPr>
          <w:color w:val="000000" w:themeColor="text1"/>
          <w:lang w:val="en-GB"/>
        </w:rPr>
        <w:t xml:space="preserve"> </w:t>
      </w:r>
      <w:r w:rsidRPr="005F6C5F">
        <w:rPr>
          <w:color w:val="000000" w:themeColor="text1"/>
          <w:lang w:val="en-GB"/>
        </w:rPr>
        <w:t>since 2007</w:t>
      </w:r>
      <w:r w:rsidR="00C167F6" w:rsidRPr="005F6C5F">
        <w:rPr>
          <w:color w:val="000000" w:themeColor="text1"/>
          <w:lang w:val="en-GB"/>
        </w:rPr>
        <w:t xml:space="preserve"> -</w:t>
      </w:r>
      <w:r w:rsidRPr="005F6C5F">
        <w:rPr>
          <w:color w:val="000000" w:themeColor="text1"/>
          <w:lang w:val="en-GB"/>
        </w:rPr>
        <w:t xml:space="preserve"> and still </w:t>
      </w:r>
      <w:r w:rsidR="00C167F6" w:rsidRPr="005F6C5F">
        <w:rPr>
          <w:color w:val="000000" w:themeColor="text1"/>
          <w:lang w:val="en-GB"/>
        </w:rPr>
        <w:t xml:space="preserve">it is </w:t>
      </w:r>
      <w:r w:rsidRPr="005F6C5F">
        <w:rPr>
          <w:color w:val="000000" w:themeColor="text1"/>
          <w:lang w:val="en-GB"/>
        </w:rPr>
        <w:t>supporting</w:t>
      </w:r>
      <w:r w:rsidR="00876023" w:rsidRPr="005F6C5F">
        <w:rPr>
          <w:color w:val="000000" w:themeColor="text1"/>
          <w:lang w:val="en-GB"/>
        </w:rPr>
        <w:t>, despite dubious results</w:t>
      </w:r>
      <w:r w:rsidR="00C167F6" w:rsidRPr="005F6C5F">
        <w:rPr>
          <w:color w:val="000000" w:themeColor="text1"/>
          <w:lang w:val="en-GB"/>
        </w:rPr>
        <w:t xml:space="preserve"> </w:t>
      </w:r>
      <w:r w:rsidR="00876023" w:rsidRPr="005F6C5F">
        <w:rPr>
          <w:color w:val="000000" w:themeColor="text1"/>
          <w:lang w:val="en-GB"/>
        </w:rPr>
        <w:t>–</w:t>
      </w:r>
      <w:r w:rsidR="00C167F6" w:rsidRPr="005F6C5F">
        <w:rPr>
          <w:color w:val="000000" w:themeColor="text1"/>
          <w:lang w:val="en-GB"/>
        </w:rPr>
        <w:t xml:space="preserve"> </w:t>
      </w:r>
      <w:r w:rsidR="00876023" w:rsidRPr="005F6C5F">
        <w:rPr>
          <w:color w:val="000000" w:themeColor="text1"/>
          <w:lang w:val="en-GB"/>
        </w:rPr>
        <w:t>local authorities</w:t>
      </w:r>
      <w:r w:rsidRPr="005F6C5F">
        <w:rPr>
          <w:color w:val="000000" w:themeColor="text1"/>
          <w:lang w:val="en-GB"/>
        </w:rPr>
        <w:t xml:space="preserve"> all over the country to work out </w:t>
      </w:r>
      <w:r w:rsidR="00876023" w:rsidRPr="005F6C5F">
        <w:rPr>
          <w:color w:val="000000" w:themeColor="text1"/>
          <w:lang w:val="en-GB"/>
        </w:rPr>
        <w:t xml:space="preserve">suitable resource allocations systems and also </w:t>
      </w:r>
      <w:r w:rsidRPr="005F6C5F">
        <w:rPr>
          <w:color w:val="000000" w:themeColor="text1"/>
          <w:lang w:val="en-GB"/>
        </w:rPr>
        <w:t xml:space="preserve">ways to convert their commissioning models from block contracts with services </w:t>
      </w:r>
      <w:r w:rsidR="00C167F6" w:rsidRPr="005F6C5F">
        <w:rPr>
          <w:color w:val="000000" w:themeColor="text1"/>
          <w:lang w:val="en-GB"/>
        </w:rPr>
        <w:t xml:space="preserve">to spot purchasing. Under block contracts, </w:t>
      </w:r>
      <w:r w:rsidRPr="005F6C5F">
        <w:rPr>
          <w:color w:val="000000" w:themeColor="text1"/>
          <w:lang w:val="en-GB"/>
        </w:rPr>
        <w:t>providers are paid through contracts and based on an estimation of local population needs</w:t>
      </w:r>
      <w:r w:rsidR="00C167F6" w:rsidRPr="005F6C5F">
        <w:rPr>
          <w:color w:val="000000" w:themeColor="text1"/>
          <w:lang w:val="en-GB"/>
        </w:rPr>
        <w:t xml:space="preserve">. Under </w:t>
      </w:r>
      <w:r w:rsidRPr="005F6C5F">
        <w:rPr>
          <w:color w:val="000000" w:themeColor="text1"/>
          <w:lang w:val="en-GB"/>
        </w:rPr>
        <w:t>spot purchasing</w:t>
      </w:r>
      <w:r w:rsidR="00876023" w:rsidRPr="005F6C5F">
        <w:rPr>
          <w:color w:val="000000" w:themeColor="text1"/>
          <w:lang w:val="en-GB"/>
        </w:rPr>
        <w:t>,</w:t>
      </w:r>
      <w:r w:rsidR="00C167F6" w:rsidRPr="005F6C5F">
        <w:rPr>
          <w:color w:val="000000" w:themeColor="text1"/>
          <w:lang w:val="en-GB"/>
        </w:rPr>
        <w:t xml:space="preserve"> </w:t>
      </w:r>
      <w:r w:rsidRPr="005F6C5F">
        <w:rPr>
          <w:color w:val="000000" w:themeColor="text1"/>
          <w:lang w:val="en-GB"/>
        </w:rPr>
        <w:t>providers</w:t>
      </w:r>
      <w:r w:rsidR="00C167F6" w:rsidRPr="005F6C5F">
        <w:rPr>
          <w:color w:val="000000" w:themeColor="text1"/>
          <w:lang w:val="en-GB"/>
        </w:rPr>
        <w:t xml:space="preserve"> are instead</w:t>
      </w:r>
      <w:r w:rsidRPr="005F6C5F">
        <w:rPr>
          <w:color w:val="000000" w:themeColor="text1"/>
          <w:lang w:val="en-GB"/>
        </w:rPr>
        <w:t xml:space="preserve"> paid</w:t>
      </w:r>
      <w:r w:rsidR="00C167F6" w:rsidRPr="005F6C5F">
        <w:rPr>
          <w:color w:val="000000" w:themeColor="text1"/>
          <w:lang w:val="en-GB"/>
        </w:rPr>
        <w:t xml:space="preserve"> based on activity and directly </w:t>
      </w:r>
      <w:r w:rsidRPr="005F6C5F">
        <w:rPr>
          <w:color w:val="000000" w:themeColor="text1"/>
          <w:lang w:val="en-GB"/>
        </w:rPr>
        <w:t xml:space="preserve">by users of services with their </w:t>
      </w:r>
      <w:r w:rsidR="00C167F6" w:rsidRPr="005F6C5F">
        <w:rPr>
          <w:color w:val="000000" w:themeColor="text1"/>
          <w:lang w:val="en-GB"/>
        </w:rPr>
        <w:t xml:space="preserve">personal </w:t>
      </w:r>
      <w:r w:rsidRPr="005F6C5F">
        <w:rPr>
          <w:color w:val="000000" w:themeColor="text1"/>
          <w:lang w:val="en-GB"/>
        </w:rPr>
        <w:t>budgets</w:t>
      </w:r>
      <w:r w:rsidR="00C167F6" w:rsidRPr="005F6C5F">
        <w:rPr>
          <w:color w:val="000000" w:themeColor="text1"/>
          <w:lang w:val="en-GB"/>
        </w:rPr>
        <w:t xml:space="preserve"> (or by local authorities on their behalf should users decide they don’t want to manage their own budgets). </w:t>
      </w:r>
      <w:r w:rsidRPr="005F6C5F">
        <w:rPr>
          <w:i/>
          <w:color w:val="000000" w:themeColor="text1"/>
          <w:lang w:val="en-GB"/>
        </w:rPr>
        <w:t>InControl</w:t>
      </w:r>
      <w:r w:rsidRPr="005F6C5F">
        <w:rPr>
          <w:color w:val="000000" w:themeColor="text1"/>
          <w:lang w:val="en-GB"/>
        </w:rPr>
        <w:t xml:space="preserve"> is also supporting LAs across the country to train their staff for the ‘cultural change’ (a term which emerged several times in my interviews) which their model demands</w:t>
      </w:r>
      <w:r w:rsidR="00C167F6" w:rsidRPr="005F6C5F">
        <w:rPr>
          <w:color w:val="000000" w:themeColor="text1"/>
          <w:lang w:val="en-GB"/>
        </w:rPr>
        <w:t xml:space="preserve"> and, with their </w:t>
      </w:r>
      <w:r w:rsidRPr="005F6C5F">
        <w:rPr>
          <w:color w:val="000000" w:themeColor="text1"/>
          <w:lang w:val="en-GB"/>
        </w:rPr>
        <w:t>own research team</w:t>
      </w:r>
      <w:r w:rsidR="00C167F6" w:rsidRPr="005F6C5F">
        <w:rPr>
          <w:color w:val="000000" w:themeColor="text1"/>
          <w:lang w:val="en-GB"/>
        </w:rPr>
        <w:t xml:space="preserve">, they are also creating and spreading the evidence that their model works. </w:t>
      </w:r>
      <w:r w:rsidR="00C167F6" w:rsidRPr="005F6C5F">
        <w:rPr>
          <w:i/>
          <w:color w:val="000000" w:themeColor="text1"/>
          <w:lang w:val="en-GB"/>
        </w:rPr>
        <w:t>InControl</w:t>
      </w:r>
      <w:r w:rsidR="00C167F6" w:rsidRPr="005F6C5F">
        <w:rPr>
          <w:color w:val="000000" w:themeColor="text1"/>
          <w:lang w:val="en-GB"/>
        </w:rPr>
        <w:t xml:space="preserve"> l</w:t>
      </w:r>
      <w:r w:rsidRPr="005F6C5F">
        <w:rPr>
          <w:color w:val="000000" w:themeColor="text1"/>
          <w:lang w:val="en-GB"/>
        </w:rPr>
        <w:t>ead</w:t>
      </w:r>
      <w:r w:rsidR="00C167F6" w:rsidRPr="005F6C5F">
        <w:rPr>
          <w:color w:val="000000" w:themeColor="text1"/>
          <w:lang w:val="en-GB"/>
        </w:rPr>
        <w:t xml:space="preserve">s in fact </w:t>
      </w:r>
      <w:r w:rsidRPr="005F6C5F">
        <w:rPr>
          <w:color w:val="000000" w:themeColor="text1"/>
          <w:lang w:val="en-GB"/>
        </w:rPr>
        <w:t>on the POET surveys together with Lancaster University and TLAP – the government’s arm committed to transform health and care through personalisation</w:t>
      </w:r>
      <w:r w:rsidR="00C167F6" w:rsidRPr="005F6C5F">
        <w:rPr>
          <w:color w:val="000000" w:themeColor="text1"/>
          <w:lang w:val="en-GB"/>
        </w:rPr>
        <w:t xml:space="preserve">. The POET surveys </w:t>
      </w:r>
      <w:r w:rsidR="00A75BC5" w:rsidRPr="005F6C5F">
        <w:rPr>
          <w:color w:val="000000" w:themeColor="text1"/>
          <w:lang w:val="en-GB"/>
        </w:rPr>
        <w:t>are</w:t>
      </w:r>
      <w:r w:rsidR="00C167F6" w:rsidRPr="005F6C5F">
        <w:rPr>
          <w:color w:val="000000" w:themeColor="text1"/>
          <w:lang w:val="en-GB"/>
        </w:rPr>
        <w:t xml:space="preserve"> today t</w:t>
      </w:r>
      <w:r w:rsidRPr="005F6C5F">
        <w:rPr>
          <w:color w:val="000000" w:themeColor="text1"/>
          <w:lang w:val="en-GB"/>
        </w:rPr>
        <w:t xml:space="preserve">he largest surveys available looking at the impact of </w:t>
      </w:r>
      <w:r w:rsidR="00C73688" w:rsidRPr="005F6C5F">
        <w:rPr>
          <w:color w:val="000000" w:themeColor="text1"/>
          <w:lang w:val="en-GB"/>
        </w:rPr>
        <w:t>personal budgets</w:t>
      </w:r>
      <w:r w:rsidRPr="005F6C5F">
        <w:rPr>
          <w:color w:val="000000" w:themeColor="text1"/>
          <w:lang w:val="en-GB"/>
        </w:rPr>
        <w:t xml:space="preserve"> on people’s lives. </w:t>
      </w:r>
    </w:p>
    <w:p w14:paraId="63DD5B3D" w14:textId="4A378047" w:rsidR="00802DF7" w:rsidRPr="005F6C5F" w:rsidRDefault="00FE061C" w:rsidP="00393E33">
      <w:pPr>
        <w:spacing w:after="120" w:line="360" w:lineRule="auto"/>
        <w:jc w:val="both"/>
        <w:rPr>
          <w:color w:val="000000" w:themeColor="text1"/>
          <w:lang w:val="en-GB"/>
        </w:rPr>
      </w:pPr>
      <w:r w:rsidRPr="005F6C5F">
        <w:rPr>
          <w:color w:val="000000" w:themeColor="text1"/>
          <w:lang w:val="en-GB"/>
        </w:rPr>
        <w:t xml:space="preserve">The </w:t>
      </w:r>
      <w:r w:rsidRPr="005F6C5F">
        <w:rPr>
          <w:i/>
          <w:color w:val="000000" w:themeColor="text1"/>
          <w:lang w:val="en-GB"/>
        </w:rPr>
        <w:t>brokerage model</w:t>
      </w:r>
      <w:r w:rsidRPr="005F6C5F">
        <w:rPr>
          <w:color w:val="000000" w:themeColor="text1"/>
          <w:lang w:val="en-GB"/>
        </w:rPr>
        <w:t xml:space="preserve"> is a second model I identified</w:t>
      </w:r>
      <w:r w:rsidR="00FA2D0E" w:rsidRPr="005F6C5F">
        <w:rPr>
          <w:color w:val="000000" w:themeColor="text1"/>
          <w:lang w:val="en-GB"/>
        </w:rPr>
        <w:t xml:space="preserve">. </w:t>
      </w:r>
      <w:r w:rsidRPr="005F6C5F">
        <w:rPr>
          <w:color w:val="000000" w:themeColor="text1"/>
          <w:lang w:val="en-GB"/>
        </w:rPr>
        <w:t xml:space="preserve"> </w:t>
      </w:r>
      <w:r w:rsidR="00FA2D0E" w:rsidRPr="005F6C5F">
        <w:rPr>
          <w:i/>
          <w:color w:val="000000" w:themeColor="text1"/>
          <w:lang w:val="en-GB"/>
        </w:rPr>
        <w:t>B</w:t>
      </w:r>
      <w:r w:rsidRPr="005F6C5F">
        <w:rPr>
          <w:i/>
          <w:color w:val="000000" w:themeColor="text1"/>
          <w:lang w:val="en-GB"/>
        </w:rPr>
        <w:t>rokerage</w:t>
      </w:r>
      <w:r w:rsidRPr="005F6C5F">
        <w:rPr>
          <w:color w:val="000000" w:themeColor="text1"/>
          <w:lang w:val="en-GB"/>
        </w:rPr>
        <w:t xml:space="preserve"> has interestingly been associated in the past</w:t>
      </w:r>
      <w:r w:rsidR="00FA2D0E" w:rsidRPr="005F6C5F">
        <w:rPr>
          <w:color w:val="000000" w:themeColor="text1"/>
          <w:lang w:val="en-GB"/>
        </w:rPr>
        <w:t xml:space="preserve"> </w:t>
      </w:r>
      <w:r w:rsidRPr="005F6C5F">
        <w:rPr>
          <w:color w:val="000000" w:themeColor="text1"/>
          <w:lang w:val="en-GB"/>
        </w:rPr>
        <w:t xml:space="preserve">with </w:t>
      </w:r>
      <w:r w:rsidRPr="005F6C5F">
        <w:rPr>
          <w:i/>
          <w:color w:val="000000" w:themeColor="text1"/>
          <w:lang w:val="en-GB"/>
        </w:rPr>
        <w:t>InControl</w:t>
      </w:r>
      <w:r w:rsidR="00FA2D0E" w:rsidRPr="005F6C5F">
        <w:rPr>
          <w:color w:val="000000" w:themeColor="text1"/>
          <w:lang w:val="en-GB"/>
        </w:rPr>
        <w:t xml:space="preserve"> as</w:t>
      </w:r>
      <w:r w:rsidRPr="005F6C5F">
        <w:rPr>
          <w:color w:val="000000" w:themeColor="text1"/>
          <w:lang w:val="en-GB"/>
        </w:rPr>
        <w:t xml:space="preserve"> it was part of </w:t>
      </w:r>
      <w:r w:rsidR="00FA2D0E" w:rsidRPr="005F6C5F">
        <w:rPr>
          <w:color w:val="000000" w:themeColor="text1"/>
          <w:lang w:val="en-GB"/>
        </w:rPr>
        <w:t>its original</w:t>
      </w:r>
      <w:r w:rsidRPr="005F6C5F">
        <w:rPr>
          <w:color w:val="000000" w:themeColor="text1"/>
          <w:lang w:val="en-GB"/>
        </w:rPr>
        <w:t xml:space="preserve"> model</w:t>
      </w:r>
      <w:r w:rsidR="00FA2D0E" w:rsidRPr="005F6C5F">
        <w:rPr>
          <w:color w:val="000000" w:themeColor="text1"/>
          <w:lang w:val="en-GB"/>
        </w:rPr>
        <w:t xml:space="preserve">. The idea was that an independent broker would support individuals in receipt of indicative budgets to decide how to spend them. </w:t>
      </w:r>
      <w:r w:rsidRPr="005F6C5F">
        <w:rPr>
          <w:color w:val="000000" w:themeColor="text1"/>
          <w:lang w:val="en-GB"/>
        </w:rPr>
        <w:t xml:space="preserve">Simon Duffy </w:t>
      </w:r>
      <w:r w:rsidR="00C35525" w:rsidRPr="005F6C5F">
        <w:rPr>
          <w:color w:val="000000" w:themeColor="text1"/>
          <w:lang w:val="en-GB"/>
        </w:rPr>
        <w:t xml:space="preserve">was at that time the </w:t>
      </w:r>
      <w:r w:rsidR="00C35525" w:rsidRPr="005F6C5F">
        <w:rPr>
          <w:color w:val="000000" w:themeColor="text1"/>
          <w:lang w:val="en-GB"/>
        </w:rPr>
        <w:lastRenderedPageBreak/>
        <w:t xml:space="preserve">lead </w:t>
      </w:r>
      <w:r w:rsidRPr="005F6C5F">
        <w:rPr>
          <w:color w:val="000000" w:themeColor="text1"/>
          <w:lang w:val="en-GB"/>
        </w:rPr>
        <w:t>of InControl</w:t>
      </w:r>
      <w:r w:rsidR="00C35525" w:rsidRPr="005F6C5F">
        <w:rPr>
          <w:color w:val="000000" w:themeColor="text1"/>
          <w:lang w:val="en-GB"/>
        </w:rPr>
        <w:t xml:space="preserve">. However, when Simon Duffy left </w:t>
      </w:r>
      <w:r w:rsidR="00C35525" w:rsidRPr="005F6C5F">
        <w:rPr>
          <w:i/>
          <w:color w:val="000000" w:themeColor="text1"/>
          <w:lang w:val="en-GB"/>
        </w:rPr>
        <w:t xml:space="preserve">InControl </w:t>
      </w:r>
      <w:r w:rsidR="00C35525" w:rsidRPr="005F6C5F">
        <w:rPr>
          <w:color w:val="000000" w:themeColor="text1"/>
          <w:lang w:val="en-GB"/>
        </w:rPr>
        <w:t>and, am</w:t>
      </w:r>
      <w:r w:rsidR="00592CB5" w:rsidRPr="005F6C5F">
        <w:rPr>
          <w:color w:val="000000" w:themeColor="text1"/>
          <w:lang w:val="en-GB"/>
        </w:rPr>
        <w:t>idst</w:t>
      </w:r>
      <w:r w:rsidR="00C35525" w:rsidRPr="005F6C5F">
        <w:rPr>
          <w:color w:val="000000" w:themeColor="text1"/>
          <w:lang w:val="en-GB"/>
        </w:rPr>
        <w:t xml:space="preserve"> fierce debates, publicly apologised for having invented a self-directed-support model based on indicative budgets and resource allocation systems</w:t>
      </w:r>
      <w:r w:rsidR="00592CB5" w:rsidRPr="005F6C5F">
        <w:rPr>
          <w:color w:val="000000" w:themeColor="text1"/>
          <w:lang w:val="en-GB"/>
        </w:rPr>
        <w:t xml:space="preserve"> (Duffy 2012)</w:t>
      </w:r>
      <w:r w:rsidR="00C35525" w:rsidRPr="005F6C5F">
        <w:rPr>
          <w:color w:val="000000" w:themeColor="text1"/>
          <w:lang w:val="en-GB"/>
        </w:rPr>
        <w:t>, brokerage also got questioned</w:t>
      </w:r>
      <w:r w:rsidR="007D34AC" w:rsidRPr="005F6C5F">
        <w:rPr>
          <w:color w:val="000000" w:themeColor="text1"/>
          <w:lang w:val="en-GB"/>
        </w:rPr>
        <w:t xml:space="preserve"> (</w:t>
      </w:r>
      <w:bookmarkStart w:id="9" w:name="_Hlk10211590"/>
      <w:r w:rsidR="007D34AC" w:rsidRPr="005F6C5F">
        <w:rPr>
          <w:color w:val="000000" w:themeColor="text1"/>
          <w:lang w:val="en-GB"/>
        </w:rPr>
        <w:t>Duffy and Fulton 2009)</w:t>
      </w:r>
      <w:r w:rsidR="00C35525" w:rsidRPr="005F6C5F">
        <w:rPr>
          <w:color w:val="000000" w:themeColor="text1"/>
          <w:lang w:val="en-GB"/>
        </w:rPr>
        <w:t xml:space="preserve">. </w:t>
      </w:r>
      <w:bookmarkEnd w:id="9"/>
      <w:r w:rsidR="00C35525" w:rsidRPr="005F6C5F">
        <w:rPr>
          <w:color w:val="000000" w:themeColor="text1"/>
          <w:lang w:val="en-GB"/>
        </w:rPr>
        <w:t>Nevertheless, brokerage has not disappeared</w:t>
      </w:r>
      <w:r w:rsidR="007D34AC" w:rsidRPr="005F6C5F">
        <w:rPr>
          <w:color w:val="000000" w:themeColor="text1"/>
          <w:lang w:val="en-GB"/>
        </w:rPr>
        <w:t xml:space="preserve"> </w:t>
      </w:r>
      <w:r w:rsidR="00C35525" w:rsidRPr="005F6C5F">
        <w:rPr>
          <w:color w:val="000000" w:themeColor="text1"/>
          <w:lang w:val="en-GB"/>
        </w:rPr>
        <w:t>and today</w:t>
      </w:r>
      <w:r w:rsidR="007D34AC" w:rsidRPr="005F6C5F">
        <w:rPr>
          <w:color w:val="000000" w:themeColor="text1"/>
          <w:lang w:val="en-GB"/>
        </w:rPr>
        <w:t>, in a reimagined way, it</w:t>
      </w:r>
      <w:r w:rsidR="00C35525" w:rsidRPr="005F6C5F">
        <w:rPr>
          <w:color w:val="000000" w:themeColor="text1"/>
          <w:lang w:val="en-GB"/>
        </w:rPr>
        <w:t xml:space="preserve"> gets promoted by </w:t>
      </w:r>
      <w:r w:rsidRPr="005F6C5F">
        <w:rPr>
          <w:color w:val="000000" w:themeColor="text1"/>
          <w:lang w:val="en-GB"/>
        </w:rPr>
        <w:t>organisations such as the National Brokerage Network</w:t>
      </w:r>
      <w:r w:rsidR="007A7843" w:rsidRPr="005F6C5F">
        <w:rPr>
          <w:color w:val="000000" w:themeColor="text1"/>
          <w:lang w:val="en-GB"/>
        </w:rPr>
        <w:t xml:space="preserve"> (NBN)</w:t>
      </w:r>
      <w:r w:rsidR="00C35525" w:rsidRPr="005F6C5F">
        <w:rPr>
          <w:color w:val="000000" w:themeColor="text1"/>
          <w:lang w:val="en-GB"/>
        </w:rPr>
        <w:t>, its</w:t>
      </w:r>
      <w:r w:rsidRPr="005F6C5F">
        <w:rPr>
          <w:color w:val="000000" w:themeColor="text1"/>
          <w:lang w:val="en-GB"/>
        </w:rPr>
        <w:t xml:space="preserve"> sub-organisation</w:t>
      </w:r>
      <w:r w:rsidR="00C35525" w:rsidRPr="005F6C5F">
        <w:rPr>
          <w:color w:val="000000" w:themeColor="text1"/>
          <w:lang w:val="en-GB"/>
        </w:rPr>
        <w:t xml:space="preserve"> </w:t>
      </w:r>
      <w:r w:rsidR="007D34AC" w:rsidRPr="005F6C5F">
        <w:rPr>
          <w:color w:val="000000" w:themeColor="text1"/>
          <w:lang w:val="en-GB"/>
        </w:rPr>
        <w:t xml:space="preserve">in London - </w:t>
      </w:r>
      <w:r w:rsidR="007A7843" w:rsidRPr="005F6C5F">
        <w:rPr>
          <w:color w:val="000000" w:themeColor="text1"/>
          <w:lang w:val="en-GB"/>
        </w:rPr>
        <w:t>the London Brokerage Network (LBN)</w:t>
      </w:r>
      <w:r w:rsidR="00C35525" w:rsidRPr="005F6C5F">
        <w:rPr>
          <w:color w:val="000000" w:themeColor="text1"/>
          <w:lang w:val="en-GB"/>
        </w:rPr>
        <w:t>, a</w:t>
      </w:r>
      <w:r w:rsidRPr="005F6C5F">
        <w:rPr>
          <w:color w:val="000000" w:themeColor="text1"/>
          <w:lang w:val="en-GB"/>
        </w:rPr>
        <w:t xml:space="preserve">nd </w:t>
      </w:r>
      <w:r w:rsidR="00C35525" w:rsidRPr="005F6C5F">
        <w:rPr>
          <w:color w:val="000000" w:themeColor="text1"/>
          <w:lang w:val="en-GB"/>
        </w:rPr>
        <w:t xml:space="preserve">by private companies such as </w:t>
      </w:r>
      <w:proofErr w:type="spellStart"/>
      <w:r w:rsidRPr="005F6C5F">
        <w:rPr>
          <w:color w:val="000000" w:themeColor="text1"/>
          <w:lang w:val="en-GB"/>
        </w:rPr>
        <w:t>MySupportBroker</w:t>
      </w:r>
      <w:proofErr w:type="spellEnd"/>
      <w:r w:rsidRPr="005F6C5F">
        <w:rPr>
          <w:color w:val="000000" w:themeColor="text1"/>
          <w:lang w:val="en-GB"/>
        </w:rPr>
        <w:t xml:space="preserve">. </w:t>
      </w:r>
      <w:r w:rsidR="00C35525" w:rsidRPr="005F6C5F">
        <w:rPr>
          <w:color w:val="000000" w:themeColor="text1"/>
          <w:lang w:val="en-GB"/>
        </w:rPr>
        <w:t>What I call the brokerage model</w:t>
      </w:r>
      <w:r w:rsidRPr="005F6C5F">
        <w:rPr>
          <w:color w:val="000000" w:themeColor="text1"/>
          <w:lang w:val="en-GB"/>
        </w:rPr>
        <w:t xml:space="preserve"> sees in the work of independent brokers the means for true choice and control to be offered and exercised. The so-called failures of welfare states – according to this model – justify the need for independent actors to carry out part of the work which is normally provided by social workers within </w:t>
      </w:r>
      <w:r w:rsidR="007E2CAD">
        <w:rPr>
          <w:color w:val="000000" w:themeColor="text1"/>
          <w:lang w:val="en-GB"/>
        </w:rPr>
        <w:t>local authorities</w:t>
      </w:r>
      <w:r w:rsidRPr="005F6C5F">
        <w:rPr>
          <w:color w:val="000000" w:themeColor="text1"/>
          <w:lang w:val="en-GB"/>
        </w:rPr>
        <w:t xml:space="preserve">. Brokers sits midway between </w:t>
      </w:r>
      <w:r w:rsidR="00C35525" w:rsidRPr="005F6C5F">
        <w:rPr>
          <w:color w:val="000000" w:themeColor="text1"/>
          <w:lang w:val="en-GB"/>
        </w:rPr>
        <w:t>local authorities</w:t>
      </w:r>
      <w:r w:rsidRPr="005F6C5F">
        <w:rPr>
          <w:color w:val="000000" w:themeColor="text1"/>
          <w:lang w:val="en-GB"/>
        </w:rPr>
        <w:t xml:space="preserve"> (representing the state) and users. Their independence is seen as a proof of their impartiality</w:t>
      </w:r>
      <w:r w:rsidR="00C35525" w:rsidRPr="005F6C5F">
        <w:rPr>
          <w:color w:val="000000" w:themeColor="text1"/>
          <w:lang w:val="en-GB"/>
        </w:rPr>
        <w:t>: brokers are seen as having n</w:t>
      </w:r>
      <w:r w:rsidRPr="005F6C5F">
        <w:rPr>
          <w:color w:val="000000" w:themeColor="text1"/>
          <w:lang w:val="en-GB"/>
        </w:rPr>
        <w:t>o interests</w:t>
      </w:r>
      <w:r w:rsidR="00C35525" w:rsidRPr="005F6C5F">
        <w:rPr>
          <w:color w:val="000000" w:themeColor="text1"/>
          <w:lang w:val="en-GB"/>
        </w:rPr>
        <w:t xml:space="preserve"> </w:t>
      </w:r>
      <w:r w:rsidRPr="005F6C5F">
        <w:rPr>
          <w:color w:val="000000" w:themeColor="text1"/>
          <w:lang w:val="en-GB"/>
        </w:rPr>
        <w:t>and</w:t>
      </w:r>
      <w:r w:rsidR="00C35525" w:rsidRPr="005F6C5F">
        <w:rPr>
          <w:color w:val="000000" w:themeColor="text1"/>
          <w:lang w:val="en-GB"/>
        </w:rPr>
        <w:t>,</w:t>
      </w:r>
      <w:r w:rsidRPr="005F6C5F">
        <w:rPr>
          <w:color w:val="000000" w:themeColor="text1"/>
          <w:lang w:val="en-GB"/>
        </w:rPr>
        <w:t xml:space="preserve"> as such</w:t>
      </w:r>
      <w:r w:rsidR="00C35525" w:rsidRPr="005F6C5F">
        <w:rPr>
          <w:color w:val="000000" w:themeColor="text1"/>
          <w:lang w:val="en-GB"/>
        </w:rPr>
        <w:t>,</w:t>
      </w:r>
      <w:r w:rsidRPr="005F6C5F">
        <w:rPr>
          <w:color w:val="000000" w:themeColor="text1"/>
          <w:lang w:val="en-GB"/>
        </w:rPr>
        <w:t xml:space="preserve"> they are considered as better placed to support real choice and control for vulnerable people. In an ideal world, according to this model, SUs </w:t>
      </w:r>
      <w:r w:rsidR="00C35525" w:rsidRPr="005F6C5F">
        <w:rPr>
          <w:color w:val="000000" w:themeColor="text1"/>
          <w:lang w:val="en-GB"/>
        </w:rPr>
        <w:t>would</w:t>
      </w:r>
      <w:r w:rsidRPr="005F6C5F">
        <w:rPr>
          <w:color w:val="000000" w:themeColor="text1"/>
          <w:lang w:val="en-GB"/>
        </w:rPr>
        <w:t xml:space="preserve"> choose their </w:t>
      </w:r>
      <w:r w:rsidR="00C35525" w:rsidRPr="005F6C5F">
        <w:rPr>
          <w:color w:val="000000" w:themeColor="text1"/>
          <w:lang w:val="en-GB"/>
        </w:rPr>
        <w:t xml:space="preserve">own </w:t>
      </w:r>
      <w:r w:rsidRPr="005F6C5F">
        <w:rPr>
          <w:color w:val="000000" w:themeColor="text1"/>
          <w:lang w:val="en-GB"/>
        </w:rPr>
        <w:t xml:space="preserve">broker and use </w:t>
      </w:r>
      <w:r w:rsidR="00802DF7" w:rsidRPr="005F6C5F">
        <w:rPr>
          <w:color w:val="000000" w:themeColor="text1"/>
          <w:lang w:val="en-GB"/>
        </w:rPr>
        <w:t xml:space="preserve">part of </w:t>
      </w:r>
      <w:r w:rsidRPr="005F6C5F">
        <w:rPr>
          <w:color w:val="000000" w:themeColor="text1"/>
          <w:lang w:val="en-GB"/>
        </w:rPr>
        <w:t xml:space="preserve">their </w:t>
      </w:r>
      <w:r w:rsidR="00802DF7" w:rsidRPr="005F6C5F">
        <w:rPr>
          <w:color w:val="000000" w:themeColor="text1"/>
          <w:lang w:val="en-GB"/>
        </w:rPr>
        <w:t xml:space="preserve">personal </w:t>
      </w:r>
      <w:r w:rsidRPr="005F6C5F">
        <w:rPr>
          <w:color w:val="000000" w:themeColor="text1"/>
          <w:lang w:val="en-GB"/>
        </w:rPr>
        <w:t xml:space="preserve">budget to pay for the broker of their choice to support them with planning their support. </w:t>
      </w:r>
    </w:p>
    <w:p w14:paraId="2EA057FF" w14:textId="2FDBD295" w:rsidR="00FE061C" w:rsidRPr="005F6C5F" w:rsidRDefault="00FE061C" w:rsidP="00393E33">
      <w:pPr>
        <w:spacing w:after="120" w:line="360" w:lineRule="auto"/>
        <w:jc w:val="both"/>
        <w:rPr>
          <w:color w:val="000000" w:themeColor="text1"/>
          <w:lang w:val="en-GB"/>
        </w:rPr>
      </w:pPr>
      <w:r w:rsidRPr="005F6C5F">
        <w:rPr>
          <w:color w:val="000000" w:themeColor="text1"/>
          <w:lang w:val="en-GB"/>
        </w:rPr>
        <w:t xml:space="preserve">In a 5-days training I attended </w:t>
      </w:r>
      <w:r w:rsidR="007A7843" w:rsidRPr="005F6C5F">
        <w:rPr>
          <w:color w:val="000000" w:themeColor="text1"/>
          <w:lang w:val="en-GB"/>
        </w:rPr>
        <w:t>on brokerage and which was commissioned by a local authority for its council workers (manly social workers and commissioners)</w:t>
      </w:r>
      <w:r w:rsidRPr="005F6C5F">
        <w:rPr>
          <w:color w:val="000000" w:themeColor="text1"/>
          <w:lang w:val="en-GB"/>
        </w:rPr>
        <w:t xml:space="preserve">, </w:t>
      </w:r>
      <w:r w:rsidR="007A7843" w:rsidRPr="005F6C5F">
        <w:rPr>
          <w:color w:val="000000" w:themeColor="text1"/>
          <w:lang w:val="en-GB"/>
        </w:rPr>
        <w:t>the attendees were considered as potential future brokers and, as such, they</w:t>
      </w:r>
      <w:r w:rsidRPr="005F6C5F">
        <w:rPr>
          <w:color w:val="000000" w:themeColor="text1"/>
          <w:lang w:val="en-GB"/>
        </w:rPr>
        <w:t xml:space="preserve"> were thought </w:t>
      </w:r>
      <w:r w:rsidR="007A7843" w:rsidRPr="005F6C5F">
        <w:rPr>
          <w:color w:val="000000" w:themeColor="text1"/>
          <w:lang w:val="en-GB"/>
        </w:rPr>
        <w:t xml:space="preserve">the kind of </w:t>
      </w:r>
      <w:r w:rsidRPr="005F6C5F">
        <w:rPr>
          <w:color w:val="000000" w:themeColor="text1"/>
          <w:lang w:val="en-GB"/>
        </w:rPr>
        <w:t xml:space="preserve">marketing strategies </w:t>
      </w:r>
      <w:r w:rsidR="007A7843" w:rsidRPr="005F6C5F">
        <w:rPr>
          <w:color w:val="000000" w:themeColor="text1"/>
          <w:lang w:val="en-GB"/>
        </w:rPr>
        <w:t xml:space="preserve">upon which brokerage is based. For instance, they were </w:t>
      </w:r>
      <w:r w:rsidR="001D29D7" w:rsidRPr="005F6C5F">
        <w:rPr>
          <w:color w:val="000000" w:themeColor="text1"/>
          <w:lang w:val="en-GB"/>
        </w:rPr>
        <w:t>thought -</w:t>
      </w:r>
      <w:r w:rsidR="007A7843" w:rsidRPr="005F6C5F">
        <w:rPr>
          <w:color w:val="000000" w:themeColor="text1"/>
          <w:lang w:val="en-GB"/>
        </w:rPr>
        <w:t xml:space="preserve"> among other things - how to write a CV</w:t>
      </w:r>
      <w:r w:rsidR="001D29D7" w:rsidRPr="005F6C5F">
        <w:rPr>
          <w:color w:val="000000" w:themeColor="text1"/>
          <w:lang w:val="en-GB"/>
        </w:rPr>
        <w:t xml:space="preserve"> as brokers</w:t>
      </w:r>
      <w:r w:rsidR="007A7843" w:rsidRPr="005F6C5F">
        <w:rPr>
          <w:color w:val="000000" w:themeColor="text1"/>
          <w:lang w:val="en-GB"/>
        </w:rPr>
        <w:t xml:space="preserve">, how </w:t>
      </w:r>
      <w:r w:rsidR="001D29D7" w:rsidRPr="005F6C5F">
        <w:rPr>
          <w:color w:val="000000" w:themeColor="text1"/>
          <w:lang w:val="en-GB"/>
        </w:rPr>
        <w:t xml:space="preserve">such CV </w:t>
      </w:r>
      <w:r w:rsidR="007A7843" w:rsidRPr="005F6C5F">
        <w:rPr>
          <w:color w:val="000000" w:themeColor="text1"/>
          <w:lang w:val="en-GB"/>
        </w:rPr>
        <w:t>should sound personal rather than professional</w:t>
      </w:r>
      <w:r w:rsidR="00C71827" w:rsidRPr="005F6C5F">
        <w:rPr>
          <w:color w:val="000000" w:themeColor="text1"/>
          <w:lang w:val="en-GB"/>
        </w:rPr>
        <w:t xml:space="preserve">, </w:t>
      </w:r>
      <w:r w:rsidR="001D29D7" w:rsidRPr="005F6C5F">
        <w:rPr>
          <w:color w:val="000000" w:themeColor="text1"/>
          <w:lang w:val="en-GB"/>
        </w:rPr>
        <w:t xml:space="preserve">what strategies could be adopted </w:t>
      </w:r>
      <w:r w:rsidR="00C71827" w:rsidRPr="005F6C5F">
        <w:rPr>
          <w:color w:val="000000" w:themeColor="text1"/>
          <w:lang w:val="en-GB"/>
        </w:rPr>
        <w:t xml:space="preserve">to </w:t>
      </w:r>
      <w:r w:rsidR="007A7843" w:rsidRPr="005F6C5F">
        <w:rPr>
          <w:color w:val="000000" w:themeColor="text1"/>
          <w:lang w:val="en-GB"/>
        </w:rPr>
        <w:t>appeal to</w:t>
      </w:r>
      <w:r w:rsidR="001D29D7" w:rsidRPr="005F6C5F">
        <w:rPr>
          <w:color w:val="000000" w:themeColor="text1"/>
          <w:lang w:val="en-GB"/>
        </w:rPr>
        <w:t xml:space="preserve"> ideal users/clients</w:t>
      </w:r>
      <w:r w:rsidR="007A7843" w:rsidRPr="005F6C5F">
        <w:rPr>
          <w:color w:val="000000" w:themeColor="text1"/>
          <w:lang w:val="en-GB"/>
        </w:rPr>
        <w:t xml:space="preserve">, how to work out </w:t>
      </w:r>
      <w:r w:rsidR="00C71827" w:rsidRPr="005F6C5F">
        <w:rPr>
          <w:color w:val="000000" w:themeColor="text1"/>
          <w:lang w:val="en-GB"/>
        </w:rPr>
        <w:t xml:space="preserve">consultation </w:t>
      </w:r>
      <w:r w:rsidR="007A7843" w:rsidRPr="005F6C5F">
        <w:rPr>
          <w:color w:val="000000" w:themeColor="text1"/>
          <w:lang w:val="en-GB"/>
        </w:rPr>
        <w:t xml:space="preserve">fees and how to advertise </w:t>
      </w:r>
      <w:r w:rsidR="00C71827" w:rsidRPr="005F6C5F">
        <w:rPr>
          <w:color w:val="000000" w:themeColor="text1"/>
          <w:lang w:val="en-GB"/>
        </w:rPr>
        <w:t>brokers</w:t>
      </w:r>
      <w:r w:rsidR="007D34AC" w:rsidRPr="005F6C5F">
        <w:rPr>
          <w:color w:val="000000" w:themeColor="text1"/>
          <w:lang w:val="en-GB"/>
        </w:rPr>
        <w:t>’</w:t>
      </w:r>
      <w:r w:rsidR="007A7843" w:rsidRPr="005F6C5F">
        <w:rPr>
          <w:color w:val="000000" w:themeColor="text1"/>
          <w:lang w:val="en-GB"/>
        </w:rPr>
        <w:t xml:space="preserve"> </w:t>
      </w:r>
      <w:r w:rsidR="00C71827" w:rsidRPr="005F6C5F">
        <w:rPr>
          <w:color w:val="000000" w:themeColor="text1"/>
          <w:lang w:val="en-GB"/>
        </w:rPr>
        <w:t>profiles</w:t>
      </w:r>
      <w:r w:rsidRPr="005F6C5F">
        <w:rPr>
          <w:color w:val="000000" w:themeColor="text1"/>
          <w:lang w:val="en-GB"/>
        </w:rPr>
        <w:t xml:space="preserve">. </w:t>
      </w:r>
    </w:p>
    <w:p w14:paraId="54EF8C73" w14:textId="77777777" w:rsidR="00E10F75" w:rsidRPr="005F6C5F" w:rsidRDefault="002510AA" w:rsidP="00393E33">
      <w:pPr>
        <w:spacing w:after="120" w:line="360" w:lineRule="auto"/>
        <w:jc w:val="both"/>
        <w:rPr>
          <w:color w:val="000000" w:themeColor="text1"/>
          <w:lang w:val="en-GB"/>
        </w:rPr>
      </w:pPr>
      <w:r w:rsidRPr="005F6C5F">
        <w:rPr>
          <w:color w:val="000000" w:themeColor="text1"/>
          <w:lang w:val="en-GB"/>
        </w:rPr>
        <w:t>Finally, the last model I identified is what I called the informal network model. As the name suggest, this is less centred on single individuals, their consumer and monetary powers and more focused instead on the relational dimension of their resources. For instance, the Three Conversations (3Cs) model, developed and pioneered by the company Partners4Change (P4C), is built around the concept of good conversations, real listening to people, real life questions and chats as opposed to social care assessments. The choice of what to buy with a PB is left as the last, and not necessarily required stage, of a process which start with Conversation1 (C1). In the words of one of my interviewees ‘</w:t>
      </w:r>
      <w:r w:rsidRPr="005F6C5F">
        <w:rPr>
          <w:i/>
          <w:color w:val="000000" w:themeColor="text1"/>
          <w:lang w:val="en-GB"/>
        </w:rPr>
        <w:t xml:space="preserve">I listen hard to you, I don’t assess you, I listen hard, I understand what really matters to you in your life, understand what a good life means to you, good life to you might be very different from good life to me, and I connect you, I know your community </w:t>
      </w:r>
      <w:proofErr w:type="spellStart"/>
      <w:r w:rsidRPr="005F6C5F">
        <w:rPr>
          <w:i/>
          <w:color w:val="000000" w:themeColor="text1"/>
          <w:lang w:val="en-GB"/>
        </w:rPr>
        <w:t>resources..I</w:t>
      </w:r>
      <w:proofErr w:type="spellEnd"/>
      <w:r w:rsidRPr="005F6C5F">
        <w:rPr>
          <w:i/>
          <w:color w:val="000000" w:themeColor="text1"/>
          <w:lang w:val="en-GB"/>
        </w:rPr>
        <w:t xml:space="preserve"> know what’s going </w:t>
      </w:r>
      <w:proofErr w:type="spellStart"/>
      <w:r w:rsidRPr="005F6C5F">
        <w:rPr>
          <w:i/>
          <w:color w:val="000000" w:themeColor="text1"/>
          <w:lang w:val="en-GB"/>
        </w:rPr>
        <w:t>on..and</w:t>
      </w:r>
      <w:proofErr w:type="spellEnd"/>
      <w:r w:rsidRPr="005F6C5F">
        <w:rPr>
          <w:i/>
          <w:color w:val="000000" w:themeColor="text1"/>
          <w:lang w:val="en-GB"/>
        </w:rPr>
        <w:t xml:space="preserve"> I connect you. So I don’t give you services, I don’t assess you, I warmly introduce you to things in your </w:t>
      </w:r>
      <w:proofErr w:type="spellStart"/>
      <w:r w:rsidRPr="005F6C5F">
        <w:rPr>
          <w:i/>
          <w:color w:val="000000" w:themeColor="text1"/>
          <w:lang w:val="en-GB"/>
        </w:rPr>
        <w:t>locality..that</w:t>
      </w:r>
      <w:proofErr w:type="spellEnd"/>
      <w:r w:rsidRPr="005F6C5F">
        <w:rPr>
          <w:i/>
          <w:color w:val="000000" w:themeColor="text1"/>
          <w:lang w:val="en-GB"/>
        </w:rPr>
        <w:t xml:space="preserve"> would help make your life much better, because I know what would make life better if I start listening very hard to </w:t>
      </w:r>
      <w:proofErr w:type="spellStart"/>
      <w:r w:rsidRPr="005F6C5F">
        <w:rPr>
          <w:i/>
          <w:color w:val="000000" w:themeColor="text1"/>
          <w:lang w:val="en-GB"/>
        </w:rPr>
        <w:t>you..that</w:t>
      </w:r>
      <w:proofErr w:type="spellEnd"/>
      <w:r w:rsidRPr="005F6C5F">
        <w:rPr>
          <w:i/>
          <w:color w:val="000000" w:themeColor="text1"/>
          <w:lang w:val="en-GB"/>
        </w:rPr>
        <w:t xml:space="preserve"> C1</w:t>
      </w:r>
      <w:r w:rsidRPr="005F6C5F">
        <w:rPr>
          <w:color w:val="000000" w:themeColor="text1"/>
          <w:lang w:val="en-GB"/>
        </w:rPr>
        <w:t>’. And only if C1 is not enough, because people are in a situation of crisis, the model envisages a move to C</w:t>
      </w:r>
      <w:r w:rsidR="007D34AC" w:rsidRPr="005F6C5F">
        <w:rPr>
          <w:color w:val="000000" w:themeColor="text1"/>
          <w:lang w:val="en-GB"/>
        </w:rPr>
        <w:t>o</w:t>
      </w:r>
      <w:r w:rsidRPr="005F6C5F">
        <w:rPr>
          <w:color w:val="000000" w:themeColor="text1"/>
          <w:lang w:val="en-GB"/>
        </w:rPr>
        <w:t>nversation2 (C2). Again, in the words of the same interviewee: ‘</w:t>
      </w:r>
      <w:r w:rsidRPr="005F6C5F">
        <w:rPr>
          <w:i/>
          <w:color w:val="000000" w:themeColor="text1"/>
          <w:lang w:val="en-GB"/>
        </w:rPr>
        <w:t xml:space="preserve">So it’s a mentality, it’s a mode, it’s a purpose where my purpose is to understand what needs to </w:t>
      </w:r>
      <w:r w:rsidRPr="005F6C5F">
        <w:rPr>
          <w:i/>
          <w:color w:val="000000" w:themeColor="text1"/>
          <w:lang w:val="en-GB"/>
        </w:rPr>
        <w:lastRenderedPageBreak/>
        <w:t xml:space="preserve">change for you so that you came away from crisis…and crisis might be you end up in hospital, dependent on formal care services, your life is really </w:t>
      </w:r>
      <w:proofErr w:type="spellStart"/>
      <w:r w:rsidRPr="005F6C5F">
        <w:rPr>
          <w:i/>
          <w:color w:val="000000" w:themeColor="text1"/>
          <w:lang w:val="en-GB"/>
        </w:rPr>
        <w:t>really</w:t>
      </w:r>
      <w:proofErr w:type="spellEnd"/>
      <w:r w:rsidRPr="005F6C5F">
        <w:rPr>
          <w:i/>
          <w:color w:val="000000" w:themeColor="text1"/>
          <w:lang w:val="en-GB"/>
        </w:rPr>
        <w:t xml:space="preserve"> crap, so C2 I work very hard with you, I stick to you like glue, for a period of time, so we get intensively involved in working together, to see if together you can get to the point where you say I had a bad time, things were tough, I didn’t think I was able to carry on but I’ve got to a different place now and I feel much better and goodbye thank you very much. That’s C2…</w:t>
      </w:r>
      <w:r w:rsidRPr="005F6C5F">
        <w:rPr>
          <w:color w:val="000000" w:themeColor="text1"/>
          <w:lang w:val="en-GB"/>
        </w:rPr>
        <w:t>’. From C2, only in few cases, there will then be the need to move to Conversation3 (C3): ‘</w:t>
      </w:r>
      <w:r w:rsidRPr="005F6C5F">
        <w:rPr>
          <w:i/>
          <w:color w:val="000000" w:themeColor="text1"/>
          <w:lang w:val="en-GB"/>
        </w:rPr>
        <w:t xml:space="preserve">C3 is a classic InControl Self-Directed-Support, that’s your PB, what you </w:t>
      </w:r>
      <w:proofErr w:type="spellStart"/>
      <w:r w:rsidRPr="005F6C5F">
        <w:rPr>
          <w:i/>
          <w:color w:val="000000" w:themeColor="text1"/>
          <w:lang w:val="en-GB"/>
        </w:rPr>
        <w:t>wanna</w:t>
      </w:r>
      <w:proofErr w:type="spellEnd"/>
      <w:r w:rsidRPr="005F6C5F">
        <w:rPr>
          <w:i/>
          <w:color w:val="000000" w:themeColor="text1"/>
          <w:lang w:val="en-GB"/>
        </w:rPr>
        <w:t xml:space="preserve"> do with your life?’</w:t>
      </w:r>
      <w:r w:rsidRPr="005F6C5F">
        <w:rPr>
          <w:color w:val="000000" w:themeColor="text1"/>
          <w:lang w:val="en-GB"/>
        </w:rPr>
        <w:t>. The citizen-costumer-consumer is the last step of a process which start with just the citizen, their relations and communities. In addition to P4C, other organisations, charity and social enterprises, are also developing more ‘relational’ and ‘community-based model</w:t>
      </w:r>
      <w:r w:rsidR="007612D3" w:rsidRPr="005F6C5F">
        <w:rPr>
          <w:color w:val="000000" w:themeColor="text1"/>
          <w:lang w:val="en-GB"/>
        </w:rPr>
        <w:t>s</w:t>
      </w:r>
      <w:r w:rsidRPr="005F6C5F">
        <w:rPr>
          <w:color w:val="000000" w:themeColor="text1"/>
          <w:lang w:val="en-GB"/>
        </w:rPr>
        <w:t xml:space="preserve">’. To name the most widespread: Community-Led-Support (CLD) – pioneered by </w:t>
      </w:r>
      <w:proofErr w:type="spellStart"/>
      <w:r w:rsidRPr="005F6C5F">
        <w:rPr>
          <w:color w:val="000000" w:themeColor="text1"/>
          <w:lang w:val="en-GB"/>
        </w:rPr>
        <w:t>NDTi</w:t>
      </w:r>
      <w:proofErr w:type="spellEnd"/>
      <w:r w:rsidRPr="005F6C5F">
        <w:rPr>
          <w:color w:val="000000" w:themeColor="text1"/>
          <w:lang w:val="en-GB"/>
        </w:rPr>
        <w:t xml:space="preserve">, Local Area Coordinators (LAC), Community Catalysts. </w:t>
      </w:r>
    </w:p>
    <w:p w14:paraId="650D5438" w14:textId="4FAE3121" w:rsidR="002510AA" w:rsidRPr="005F6C5F" w:rsidRDefault="007612D3" w:rsidP="00393E33">
      <w:pPr>
        <w:spacing w:after="120" w:line="360" w:lineRule="auto"/>
        <w:jc w:val="both"/>
        <w:rPr>
          <w:color w:val="000000" w:themeColor="text1"/>
          <w:lang w:val="en-GB"/>
        </w:rPr>
      </w:pPr>
      <w:r w:rsidRPr="005F6C5F">
        <w:rPr>
          <w:color w:val="000000" w:themeColor="text1"/>
          <w:lang w:val="en-GB"/>
        </w:rPr>
        <w:t xml:space="preserve">An interesting aspect regarding the origins of the 3Cs model is that the director of P4C used to work for </w:t>
      </w:r>
      <w:r w:rsidRPr="005F6C5F">
        <w:rPr>
          <w:i/>
          <w:color w:val="000000" w:themeColor="text1"/>
          <w:lang w:val="en-GB"/>
        </w:rPr>
        <w:t xml:space="preserve">InControl </w:t>
      </w:r>
      <w:r w:rsidRPr="005F6C5F">
        <w:rPr>
          <w:color w:val="000000" w:themeColor="text1"/>
          <w:lang w:val="en-GB"/>
        </w:rPr>
        <w:t>in the past and, after having left the company, he developed a more refined and ‘up to date’ version of the model. Austerity has hardly hit social care in the UK since 2010-11</w:t>
      </w:r>
      <w:r w:rsidR="00E10F75" w:rsidRPr="005F6C5F">
        <w:rPr>
          <w:color w:val="000000" w:themeColor="text1"/>
          <w:lang w:val="en-GB"/>
        </w:rPr>
        <w:t>,</w:t>
      </w:r>
      <w:r w:rsidRPr="005F6C5F">
        <w:rPr>
          <w:color w:val="000000" w:themeColor="text1"/>
          <w:lang w:val="en-GB"/>
        </w:rPr>
        <w:t xml:space="preserve"> and choice through personal budgets is </w:t>
      </w:r>
      <w:r w:rsidR="00E10F75" w:rsidRPr="005F6C5F">
        <w:rPr>
          <w:color w:val="000000" w:themeColor="text1"/>
          <w:lang w:val="en-GB"/>
        </w:rPr>
        <w:t xml:space="preserve">not anymore </w:t>
      </w:r>
      <w:r w:rsidRPr="005F6C5F">
        <w:rPr>
          <w:color w:val="000000" w:themeColor="text1"/>
          <w:lang w:val="en-GB"/>
        </w:rPr>
        <w:t xml:space="preserve">an option </w:t>
      </w:r>
      <w:r w:rsidR="00E10F75" w:rsidRPr="005F6C5F">
        <w:rPr>
          <w:color w:val="000000" w:themeColor="text1"/>
          <w:lang w:val="en-GB"/>
        </w:rPr>
        <w:t>to be promoted for all users of care services</w:t>
      </w:r>
      <w:r w:rsidRPr="005F6C5F">
        <w:rPr>
          <w:color w:val="000000" w:themeColor="text1"/>
          <w:lang w:val="en-GB"/>
        </w:rPr>
        <w:t xml:space="preserve">. </w:t>
      </w:r>
    </w:p>
    <w:p w14:paraId="53545352" w14:textId="6EE7600E" w:rsidR="002510AA" w:rsidRPr="005F6C5F" w:rsidRDefault="00CC64AC" w:rsidP="005F6C5F">
      <w:pPr>
        <w:spacing w:after="120" w:line="360" w:lineRule="auto"/>
        <w:ind w:firstLine="708"/>
        <w:jc w:val="both"/>
        <w:rPr>
          <w:color w:val="000000" w:themeColor="text1"/>
          <w:u w:val="single"/>
          <w:lang w:val="en-GB"/>
        </w:rPr>
      </w:pPr>
      <w:r w:rsidRPr="005F6C5F">
        <w:rPr>
          <w:color w:val="000000" w:themeColor="text1"/>
          <w:u w:val="single"/>
          <w:lang w:val="en-GB"/>
        </w:rPr>
        <w:t>Preliminary reflections</w:t>
      </w:r>
    </w:p>
    <w:p w14:paraId="3D5CDF24" w14:textId="6CF2087C" w:rsidR="00CC64AC" w:rsidRPr="005F6C5F" w:rsidRDefault="00E9277F" w:rsidP="00393E33">
      <w:pPr>
        <w:spacing w:after="120" w:line="360" w:lineRule="auto"/>
        <w:jc w:val="both"/>
        <w:rPr>
          <w:color w:val="000000" w:themeColor="text1"/>
          <w:lang w:val="en-GB"/>
        </w:rPr>
      </w:pPr>
      <w:r w:rsidRPr="005F6C5F">
        <w:rPr>
          <w:color w:val="000000" w:themeColor="text1"/>
          <w:lang w:val="en-GB"/>
        </w:rPr>
        <w:t xml:space="preserve">The models I just described are to be intended as ideal types and exchanges or movements of ideas are common. This becomes quite obvious if we consider that individual actors move across these organisations and borrow, move and rework ideas. We saw the example of Simon Duffy and of the director of P4C but there are many others. This confirms the position of Peck and Theodore when they confirm that ‘influential models are rarely, if ever, the work of a single architect’ and </w:t>
      </w:r>
      <w:r w:rsidR="00ED235B" w:rsidRPr="005F6C5F">
        <w:rPr>
          <w:color w:val="000000" w:themeColor="text1"/>
          <w:lang w:val="en-GB"/>
        </w:rPr>
        <w:t xml:space="preserve">that </w:t>
      </w:r>
      <w:r w:rsidRPr="005F6C5F">
        <w:rPr>
          <w:color w:val="000000" w:themeColor="text1"/>
          <w:lang w:val="en-GB"/>
        </w:rPr>
        <w:t>policies are ‘co-constituted through the networks, and across the landscapes, through and over which they travel’ (Peck and Theodore 2015, p. xxiv).</w:t>
      </w:r>
    </w:p>
    <w:p w14:paraId="472948DE" w14:textId="5853080A" w:rsidR="00A119D9" w:rsidRPr="005F6C5F" w:rsidRDefault="00E9277F" w:rsidP="00393E33">
      <w:pPr>
        <w:spacing w:after="120" w:line="360" w:lineRule="auto"/>
        <w:jc w:val="both"/>
        <w:rPr>
          <w:color w:val="000000" w:themeColor="text1"/>
          <w:lang w:val="en-GB"/>
        </w:rPr>
      </w:pPr>
      <w:r w:rsidRPr="005F6C5F">
        <w:rPr>
          <w:color w:val="000000" w:themeColor="text1"/>
          <w:lang w:val="en-GB"/>
        </w:rPr>
        <w:t xml:space="preserve">The </w:t>
      </w:r>
      <w:r w:rsidR="00A54443" w:rsidRPr="005F6C5F">
        <w:rPr>
          <w:color w:val="000000" w:themeColor="text1"/>
          <w:lang w:val="en-GB"/>
        </w:rPr>
        <w:t xml:space="preserve">actors we have considered so far are obviously not the only actors inhabiting the </w:t>
      </w:r>
      <w:r w:rsidRPr="005F6C5F">
        <w:rPr>
          <w:color w:val="000000" w:themeColor="text1"/>
          <w:lang w:val="en-GB"/>
        </w:rPr>
        <w:t>networks and landscapes of choice agendas</w:t>
      </w:r>
      <w:r w:rsidR="00A54443" w:rsidRPr="005F6C5F">
        <w:rPr>
          <w:color w:val="000000" w:themeColor="text1"/>
          <w:lang w:val="en-GB"/>
        </w:rPr>
        <w:t xml:space="preserve">. Local authorities, </w:t>
      </w:r>
      <w:r w:rsidR="00C1789D">
        <w:rPr>
          <w:color w:val="000000" w:themeColor="text1"/>
          <w:lang w:val="en-GB"/>
        </w:rPr>
        <w:t xml:space="preserve">and </w:t>
      </w:r>
      <w:r w:rsidR="00A54443" w:rsidRPr="005F6C5F">
        <w:rPr>
          <w:color w:val="000000" w:themeColor="text1"/>
          <w:lang w:val="en-GB"/>
        </w:rPr>
        <w:t>their social services’ teams made of social workers, commissioners, care managers and other health and social care professionals</w:t>
      </w:r>
      <w:r w:rsidR="00C1789D">
        <w:rPr>
          <w:color w:val="000000" w:themeColor="text1"/>
          <w:lang w:val="en-GB"/>
        </w:rPr>
        <w:t>;</w:t>
      </w:r>
      <w:r w:rsidR="00A54443" w:rsidRPr="005F6C5F">
        <w:rPr>
          <w:color w:val="000000" w:themeColor="text1"/>
          <w:lang w:val="en-GB"/>
        </w:rPr>
        <w:t xml:space="preserve"> services and their workers – whether from private, public or third sector organisations</w:t>
      </w:r>
      <w:r w:rsidR="00C1789D">
        <w:rPr>
          <w:color w:val="000000" w:themeColor="text1"/>
          <w:lang w:val="en-GB"/>
        </w:rPr>
        <w:t>;</w:t>
      </w:r>
      <w:r w:rsidR="00A54443" w:rsidRPr="005F6C5F">
        <w:rPr>
          <w:color w:val="000000" w:themeColor="text1"/>
          <w:lang w:val="en-GB"/>
        </w:rPr>
        <w:t xml:space="preserve"> service users and service users’ groups</w:t>
      </w:r>
      <w:r w:rsidR="00C1789D">
        <w:rPr>
          <w:color w:val="000000" w:themeColor="text1"/>
          <w:lang w:val="en-GB"/>
        </w:rPr>
        <w:t>;</w:t>
      </w:r>
      <w:r w:rsidR="00A54443" w:rsidRPr="005F6C5F">
        <w:rPr>
          <w:color w:val="000000" w:themeColor="text1"/>
          <w:lang w:val="en-GB"/>
        </w:rPr>
        <w:t xml:space="preserve"> unions and</w:t>
      </w:r>
      <w:r w:rsidR="00C1789D">
        <w:rPr>
          <w:color w:val="000000" w:themeColor="text1"/>
          <w:lang w:val="en-GB"/>
        </w:rPr>
        <w:t xml:space="preserve">, finally, </w:t>
      </w:r>
      <w:r w:rsidR="00A54443" w:rsidRPr="005F6C5F">
        <w:rPr>
          <w:color w:val="000000" w:themeColor="text1"/>
          <w:lang w:val="en-GB"/>
        </w:rPr>
        <w:t>professional organisations are the other actors of the policy network. One thing, however, seems to distinguish the actors of the above described three policy models from the other actors I just listed: the</w:t>
      </w:r>
      <w:r w:rsidR="00A119D9" w:rsidRPr="005F6C5F">
        <w:rPr>
          <w:color w:val="000000" w:themeColor="text1"/>
          <w:lang w:val="en-GB"/>
        </w:rPr>
        <w:t xml:space="preserve">ir ability to influence policy. The power of the charities, social enterprises and companies we have seen above is indeed not limited to the translation of policy agendas, as while they do policy translation, they also do policy steering. While they do policy translation, they also expand their influence, they set certain directions for policy, they influence </w:t>
      </w:r>
      <w:proofErr w:type="gramStart"/>
      <w:r w:rsidR="00A119D9" w:rsidRPr="005F6C5F">
        <w:rPr>
          <w:color w:val="000000" w:themeColor="text1"/>
          <w:lang w:val="en-GB"/>
        </w:rPr>
        <w:t>other</w:t>
      </w:r>
      <w:proofErr w:type="gramEnd"/>
      <w:r w:rsidR="00A119D9" w:rsidRPr="005F6C5F">
        <w:rPr>
          <w:color w:val="000000" w:themeColor="text1"/>
          <w:lang w:val="en-GB"/>
        </w:rPr>
        <w:t xml:space="preserve"> actors’ behaviour.</w:t>
      </w:r>
      <w:r w:rsidR="0045412D" w:rsidRPr="005F6C5F">
        <w:rPr>
          <w:color w:val="000000" w:themeColor="text1"/>
          <w:lang w:val="en-GB"/>
        </w:rPr>
        <w:t xml:space="preserve"> For these reasons, they can be considered as charismatic and entrepreneurial policy (choice) enthusiasts whose mission is to defeat bureaucracy and professionalism with innovative and creative practices, in line with the spirit of choice agendas. </w:t>
      </w:r>
    </w:p>
    <w:p w14:paraId="2EE3D4AA" w14:textId="77777777" w:rsidR="007B468F" w:rsidRPr="005F6C5F" w:rsidRDefault="0045412D" w:rsidP="00393E33">
      <w:pPr>
        <w:spacing w:after="120" w:line="360" w:lineRule="auto"/>
        <w:jc w:val="both"/>
        <w:rPr>
          <w:color w:val="000000" w:themeColor="text1"/>
          <w:lang w:val="en-GB"/>
        </w:rPr>
      </w:pPr>
      <w:r w:rsidRPr="005F6C5F">
        <w:rPr>
          <w:color w:val="000000" w:themeColor="text1"/>
          <w:lang w:val="en-GB"/>
        </w:rPr>
        <w:lastRenderedPageBreak/>
        <w:t xml:space="preserve">Looking at the </w:t>
      </w:r>
      <w:r w:rsidR="008F63A6" w:rsidRPr="005F6C5F">
        <w:rPr>
          <w:color w:val="000000" w:themeColor="text1"/>
          <w:lang w:val="en-GB"/>
        </w:rPr>
        <w:t>network connexion</w:t>
      </w:r>
      <w:r w:rsidRPr="005F6C5F">
        <w:rPr>
          <w:color w:val="000000" w:themeColor="text1"/>
          <w:lang w:val="en-GB"/>
        </w:rPr>
        <w:t xml:space="preserve">s </w:t>
      </w:r>
      <w:r w:rsidR="00F93F42" w:rsidRPr="005F6C5F">
        <w:rPr>
          <w:color w:val="000000" w:themeColor="text1"/>
          <w:lang w:val="en-GB"/>
        </w:rPr>
        <w:t>of</w:t>
      </w:r>
      <w:r w:rsidRPr="005F6C5F">
        <w:rPr>
          <w:color w:val="000000" w:themeColor="text1"/>
          <w:lang w:val="en-GB"/>
        </w:rPr>
        <w:t xml:space="preserve"> these charismatic and entrepreneurial policy actors</w:t>
      </w:r>
      <w:r w:rsidR="00F93F42" w:rsidRPr="005F6C5F">
        <w:rPr>
          <w:color w:val="000000" w:themeColor="text1"/>
          <w:lang w:val="en-GB"/>
        </w:rPr>
        <w:t xml:space="preserve">, </w:t>
      </w:r>
      <w:r w:rsidRPr="005F6C5F">
        <w:rPr>
          <w:color w:val="000000" w:themeColor="text1"/>
          <w:lang w:val="en-GB"/>
        </w:rPr>
        <w:t xml:space="preserve">it emerges that they don’t establish relationships with all the other mentioned actors. </w:t>
      </w:r>
      <w:r w:rsidR="008F63A6" w:rsidRPr="005F6C5F">
        <w:rPr>
          <w:color w:val="000000" w:themeColor="text1"/>
          <w:lang w:val="en-GB"/>
        </w:rPr>
        <w:t xml:space="preserve">Managers and commissioners within local authorities are their favourite interlocutors. Simplifying, we could say that charismatic entrepreneurs meet managers and commissioners. Leadership, enterprise and managerialism represent their way of working. Choice agendas require leadership, enterprise and managerialism to be translated into practice. </w:t>
      </w:r>
    </w:p>
    <w:p w14:paraId="3567CAC8" w14:textId="51D4C7B6" w:rsidR="00ED235B" w:rsidRPr="005F6C5F" w:rsidRDefault="007B468F" w:rsidP="00393E33">
      <w:pPr>
        <w:spacing w:after="120" w:line="360" w:lineRule="auto"/>
        <w:jc w:val="both"/>
        <w:rPr>
          <w:color w:val="000000" w:themeColor="text1"/>
          <w:lang w:val="en-GB"/>
        </w:rPr>
      </w:pPr>
      <w:r w:rsidRPr="005F6C5F">
        <w:rPr>
          <w:color w:val="000000" w:themeColor="text1"/>
          <w:lang w:val="en-GB"/>
        </w:rPr>
        <w:t xml:space="preserve">This has two main effects. On the one hand, the connubium between leadership, enterprise and managerialism implies that only certain versions of choice are legitimated. </w:t>
      </w:r>
      <w:r w:rsidR="00ED235B" w:rsidRPr="005F6C5F">
        <w:rPr>
          <w:color w:val="000000" w:themeColor="text1"/>
          <w:lang w:val="en-GB"/>
        </w:rPr>
        <w:t xml:space="preserve">For instance, the particular vision of choice which </w:t>
      </w:r>
      <w:r w:rsidRPr="005F6C5F">
        <w:rPr>
          <w:color w:val="000000" w:themeColor="text1"/>
          <w:lang w:val="en-GB"/>
        </w:rPr>
        <w:t>these actors are willing and eager to promote</w:t>
      </w:r>
      <w:r w:rsidR="00ED235B" w:rsidRPr="005F6C5F">
        <w:rPr>
          <w:color w:val="000000" w:themeColor="text1"/>
          <w:lang w:val="en-GB"/>
        </w:rPr>
        <w:t xml:space="preserve"> is an individualistic and consumeristic vision of choice, even when vested by a more relational dimension. One which give lot of weight to the needs and wants of individuals and much less to those of communities. One which tends to privilege individuals’ satisfaction </w:t>
      </w:r>
      <w:r w:rsidRPr="005F6C5F">
        <w:rPr>
          <w:color w:val="000000" w:themeColor="text1"/>
          <w:lang w:val="en-GB"/>
        </w:rPr>
        <w:t>over</w:t>
      </w:r>
      <w:r w:rsidR="00ED235B" w:rsidRPr="005F6C5F">
        <w:rPr>
          <w:color w:val="000000" w:themeColor="text1"/>
          <w:lang w:val="en-GB"/>
        </w:rPr>
        <w:t xml:space="preserve"> collective needs. One which tends to associate choice with consumers’ power. </w:t>
      </w:r>
      <w:r w:rsidRPr="005F6C5F">
        <w:rPr>
          <w:color w:val="000000" w:themeColor="text1"/>
          <w:lang w:val="en-GB"/>
        </w:rPr>
        <w:t xml:space="preserve">Finally, </w:t>
      </w:r>
      <w:r w:rsidR="00ED235B" w:rsidRPr="005F6C5F">
        <w:rPr>
          <w:color w:val="000000" w:themeColor="text1"/>
          <w:lang w:val="en-GB"/>
        </w:rPr>
        <w:t xml:space="preserve">one </w:t>
      </w:r>
      <w:r w:rsidRPr="005F6C5F">
        <w:rPr>
          <w:color w:val="000000" w:themeColor="text1"/>
          <w:lang w:val="en-GB"/>
        </w:rPr>
        <w:t>which</w:t>
      </w:r>
      <w:r w:rsidR="00ED235B" w:rsidRPr="005F6C5F">
        <w:rPr>
          <w:color w:val="000000" w:themeColor="text1"/>
          <w:lang w:val="en-GB"/>
        </w:rPr>
        <w:t xml:space="preserve"> privileges the private (independent) sector (whether for profit or non-for-profit) to public services. And we are not just talking about private sector delivery of services, which is a well dated phenomenon. We are talking about the opportunities for the private sector to do some social work and policy work and for doing business while doing so.</w:t>
      </w:r>
    </w:p>
    <w:p w14:paraId="2E40F5B7" w14:textId="2EEBF750" w:rsidR="00ED235B" w:rsidRPr="005F6C5F" w:rsidRDefault="007B468F" w:rsidP="00393E33">
      <w:pPr>
        <w:spacing w:after="120" w:line="360" w:lineRule="auto"/>
        <w:jc w:val="both"/>
        <w:rPr>
          <w:color w:val="000000" w:themeColor="text1"/>
          <w:lang w:val="en-GB"/>
        </w:rPr>
      </w:pPr>
      <w:r w:rsidRPr="005F6C5F">
        <w:rPr>
          <w:color w:val="000000" w:themeColor="text1"/>
          <w:lang w:val="en-GB"/>
        </w:rPr>
        <w:t>On the other hand, t</w:t>
      </w:r>
      <w:r w:rsidR="0014611E" w:rsidRPr="005F6C5F">
        <w:rPr>
          <w:color w:val="000000" w:themeColor="text1"/>
          <w:lang w:val="en-GB"/>
        </w:rPr>
        <w:t>he connubium between leadership, enterprise and managerialis</w:t>
      </w:r>
      <w:r w:rsidRPr="005F6C5F">
        <w:rPr>
          <w:color w:val="000000" w:themeColor="text1"/>
          <w:lang w:val="en-GB"/>
        </w:rPr>
        <w:t>m also implies that</w:t>
      </w:r>
      <w:r w:rsidR="0014611E" w:rsidRPr="005F6C5F">
        <w:rPr>
          <w:color w:val="000000" w:themeColor="text1"/>
          <w:lang w:val="en-GB"/>
        </w:rPr>
        <w:t xml:space="preserve"> all the other actors of the policy network </w:t>
      </w:r>
      <w:r w:rsidR="0089237B" w:rsidRPr="005F6C5F">
        <w:rPr>
          <w:color w:val="000000" w:themeColor="text1"/>
          <w:lang w:val="en-GB"/>
        </w:rPr>
        <w:t xml:space="preserve">seem to </w:t>
      </w:r>
      <w:r w:rsidR="0014611E" w:rsidRPr="005F6C5F">
        <w:rPr>
          <w:color w:val="000000" w:themeColor="text1"/>
          <w:lang w:val="en-GB"/>
        </w:rPr>
        <w:t xml:space="preserve">have weaker translation powers. </w:t>
      </w:r>
      <w:r w:rsidRPr="005F6C5F">
        <w:rPr>
          <w:color w:val="000000" w:themeColor="text1"/>
          <w:lang w:val="en-GB"/>
        </w:rPr>
        <w:t xml:space="preserve">Their vision and their ideas of choice struggle to get through the policy network. </w:t>
      </w:r>
      <w:r w:rsidR="000C11FA" w:rsidRPr="005F6C5F">
        <w:rPr>
          <w:color w:val="000000" w:themeColor="text1"/>
          <w:lang w:val="en-GB"/>
        </w:rPr>
        <w:t xml:space="preserve">Their translation powers </w:t>
      </w:r>
      <w:r w:rsidRPr="005F6C5F">
        <w:rPr>
          <w:color w:val="000000" w:themeColor="text1"/>
          <w:lang w:val="en-GB"/>
        </w:rPr>
        <w:t xml:space="preserve">seem to be confined with the kind of coping strategies which </w:t>
      </w:r>
      <w:r w:rsidR="000C11FA" w:rsidRPr="005F6C5F">
        <w:rPr>
          <w:color w:val="000000" w:themeColor="text1"/>
          <w:lang w:val="en-GB"/>
        </w:rPr>
        <w:t xml:space="preserve">are coherent with those of streel-level-bureaucracy theories: creaming, gaming, categorisation and rationing. Some examples are: social workers cherry picking those for whom real investments in PB are worth for; local authorities calling PB what in reality does not really differ from traditional services (research has also found that the majority of PB are in the form of council managed budgets); social workers allocating similar budgets to people with similar conditions (as opposed to tailoring budgets to individuals’ needs); </w:t>
      </w:r>
      <w:r w:rsidR="00892A9A" w:rsidRPr="005F6C5F">
        <w:rPr>
          <w:color w:val="000000" w:themeColor="text1"/>
          <w:lang w:val="en-GB"/>
        </w:rPr>
        <w:t xml:space="preserve">managers within local authorities </w:t>
      </w:r>
      <w:r w:rsidR="000C11FA" w:rsidRPr="005F6C5F">
        <w:rPr>
          <w:color w:val="000000" w:themeColor="text1"/>
          <w:lang w:val="en-GB"/>
        </w:rPr>
        <w:t xml:space="preserve">using PB and DP as ways for managing scarce resources by setting budgets limits. </w:t>
      </w:r>
    </w:p>
    <w:p w14:paraId="36A5017B" w14:textId="0623E251" w:rsidR="0089237B" w:rsidRPr="005F6C5F" w:rsidRDefault="00394831" w:rsidP="005F6C5F">
      <w:pPr>
        <w:spacing w:after="120" w:line="360" w:lineRule="auto"/>
        <w:ind w:firstLine="708"/>
        <w:jc w:val="both"/>
        <w:rPr>
          <w:color w:val="000000" w:themeColor="text1"/>
          <w:u w:val="single"/>
          <w:lang w:val="en-GB"/>
        </w:rPr>
      </w:pPr>
      <w:r w:rsidRPr="005F6C5F">
        <w:rPr>
          <w:color w:val="000000" w:themeColor="text1"/>
          <w:u w:val="single"/>
          <w:lang w:val="en-GB"/>
        </w:rPr>
        <w:t>What’s next?</w:t>
      </w:r>
    </w:p>
    <w:p w14:paraId="37405B64" w14:textId="6A34D4E7" w:rsidR="007A0555" w:rsidRPr="005F6C5F" w:rsidRDefault="00394831" w:rsidP="00393E33">
      <w:pPr>
        <w:spacing w:after="120" w:line="360" w:lineRule="auto"/>
        <w:jc w:val="both"/>
        <w:rPr>
          <w:color w:val="000000" w:themeColor="text1"/>
          <w:lang w:val="en-GB"/>
        </w:rPr>
      </w:pPr>
      <w:r w:rsidRPr="005F6C5F">
        <w:rPr>
          <w:color w:val="000000" w:themeColor="text1"/>
          <w:lang w:val="en-GB"/>
        </w:rPr>
        <w:t xml:space="preserve">The conclusion that only certain versions of choice </w:t>
      </w:r>
      <w:r w:rsidR="007A0555" w:rsidRPr="005F6C5F">
        <w:rPr>
          <w:color w:val="000000" w:themeColor="text1"/>
          <w:lang w:val="en-GB"/>
        </w:rPr>
        <w:t>are legitimated to circulate through the policy network of choice agendas and that there are power asymmetries among their different actors</w:t>
      </w:r>
      <w:r w:rsidRPr="005F6C5F">
        <w:rPr>
          <w:color w:val="000000" w:themeColor="text1"/>
          <w:lang w:val="en-GB"/>
        </w:rPr>
        <w:t xml:space="preserve"> </w:t>
      </w:r>
      <w:r w:rsidR="007A0555" w:rsidRPr="005F6C5F">
        <w:rPr>
          <w:color w:val="000000" w:themeColor="text1"/>
          <w:lang w:val="en-GB"/>
        </w:rPr>
        <w:t xml:space="preserve">is a first step in the investigation of choice agendas’ effects. </w:t>
      </w:r>
      <w:r w:rsidR="003143A0" w:rsidRPr="005F6C5F">
        <w:rPr>
          <w:color w:val="000000" w:themeColor="text1"/>
          <w:lang w:val="en-GB"/>
        </w:rPr>
        <w:t>Th</w:t>
      </w:r>
      <w:r w:rsidR="00C8402C" w:rsidRPr="005F6C5F">
        <w:rPr>
          <w:color w:val="000000" w:themeColor="text1"/>
          <w:lang w:val="en-GB"/>
        </w:rPr>
        <w:t>ese conditions influence</w:t>
      </w:r>
      <w:r w:rsidR="0088256B">
        <w:rPr>
          <w:color w:val="000000" w:themeColor="text1"/>
          <w:lang w:val="en-GB"/>
        </w:rPr>
        <w:t xml:space="preserve"> in fact</w:t>
      </w:r>
      <w:r w:rsidR="00C8402C" w:rsidRPr="005F6C5F">
        <w:rPr>
          <w:color w:val="000000" w:themeColor="text1"/>
          <w:lang w:val="en-GB"/>
        </w:rPr>
        <w:t xml:space="preserve"> the kind of choice that can be offered to and exercised by users of social services. </w:t>
      </w:r>
      <w:r w:rsidR="009F62BC" w:rsidRPr="005F6C5F">
        <w:rPr>
          <w:color w:val="000000" w:themeColor="text1"/>
          <w:lang w:val="en-GB"/>
        </w:rPr>
        <w:t xml:space="preserve">However, </w:t>
      </w:r>
      <w:r w:rsidR="007B52CD" w:rsidRPr="005F6C5F">
        <w:rPr>
          <w:color w:val="000000" w:themeColor="text1"/>
          <w:lang w:val="en-GB"/>
        </w:rPr>
        <w:t>in order to draw more definite conclusion</w:t>
      </w:r>
      <w:r w:rsidR="002C643C" w:rsidRPr="005F6C5F">
        <w:rPr>
          <w:color w:val="000000" w:themeColor="text1"/>
          <w:lang w:val="en-GB"/>
        </w:rPr>
        <w:t>s</w:t>
      </w:r>
      <w:r w:rsidR="007B52CD" w:rsidRPr="005F6C5F">
        <w:rPr>
          <w:color w:val="000000" w:themeColor="text1"/>
          <w:lang w:val="en-GB"/>
        </w:rPr>
        <w:t xml:space="preserve"> in this respect,</w:t>
      </w:r>
      <w:r w:rsidR="009F62BC" w:rsidRPr="005F6C5F">
        <w:rPr>
          <w:color w:val="000000" w:themeColor="text1"/>
          <w:lang w:val="en-GB"/>
        </w:rPr>
        <w:t xml:space="preserve"> </w:t>
      </w:r>
      <w:r w:rsidR="007A0555" w:rsidRPr="005F6C5F">
        <w:rPr>
          <w:color w:val="000000" w:themeColor="text1"/>
          <w:lang w:val="en-GB"/>
        </w:rPr>
        <w:t xml:space="preserve">the role and activities of </w:t>
      </w:r>
      <w:r w:rsidR="009F62BC" w:rsidRPr="005F6C5F">
        <w:rPr>
          <w:color w:val="000000" w:themeColor="text1"/>
          <w:lang w:val="en-GB"/>
        </w:rPr>
        <w:t xml:space="preserve">those </w:t>
      </w:r>
      <w:r w:rsidR="007A0555" w:rsidRPr="005F6C5F">
        <w:rPr>
          <w:color w:val="000000" w:themeColor="text1"/>
          <w:lang w:val="en-GB"/>
        </w:rPr>
        <w:t xml:space="preserve">actors who appear to be less </w:t>
      </w:r>
      <w:r w:rsidR="009F62BC" w:rsidRPr="005F6C5F">
        <w:rPr>
          <w:color w:val="000000" w:themeColor="text1"/>
          <w:lang w:val="en-GB"/>
        </w:rPr>
        <w:t>powerful</w:t>
      </w:r>
      <w:r w:rsidR="007A0555" w:rsidRPr="005F6C5F">
        <w:rPr>
          <w:color w:val="000000" w:themeColor="text1"/>
          <w:lang w:val="en-GB"/>
        </w:rPr>
        <w:t xml:space="preserve"> within the </w:t>
      </w:r>
      <w:r w:rsidR="009F62BC" w:rsidRPr="005F6C5F">
        <w:rPr>
          <w:color w:val="000000" w:themeColor="text1"/>
          <w:lang w:val="en-GB"/>
        </w:rPr>
        <w:t xml:space="preserve">network </w:t>
      </w:r>
      <w:r w:rsidR="007B52CD" w:rsidRPr="005F6C5F">
        <w:rPr>
          <w:color w:val="000000" w:themeColor="text1"/>
          <w:lang w:val="en-GB"/>
        </w:rPr>
        <w:t>require further attention</w:t>
      </w:r>
      <w:r w:rsidR="007A0555" w:rsidRPr="005F6C5F">
        <w:rPr>
          <w:color w:val="000000" w:themeColor="text1"/>
          <w:lang w:val="en-GB"/>
        </w:rPr>
        <w:t>. Are the</w:t>
      </w:r>
      <w:r w:rsidR="009F62BC" w:rsidRPr="005F6C5F">
        <w:rPr>
          <w:color w:val="000000" w:themeColor="text1"/>
          <w:lang w:val="en-GB"/>
        </w:rPr>
        <w:t>se actors</w:t>
      </w:r>
      <w:r w:rsidR="007A0555" w:rsidRPr="005F6C5F">
        <w:rPr>
          <w:color w:val="000000" w:themeColor="text1"/>
          <w:lang w:val="en-GB"/>
        </w:rPr>
        <w:t xml:space="preserve"> really less powerful and, if so, why? Have they become passive policy receivers? Or are they maybe policy critics engaged in maintaining some kind of counter-discourses? </w:t>
      </w:r>
    </w:p>
    <w:p w14:paraId="3AFEEDC9" w14:textId="2E8266C8" w:rsidR="007A0555" w:rsidRPr="005F6C5F" w:rsidRDefault="007A0555" w:rsidP="00393E33">
      <w:pPr>
        <w:spacing w:after="120" w:line="360" w:lineRule="auto"/>
        <w:jc w:val="both"/>
        <w:rPr>
          <w:color w:val="000000" w:themeColor="text1"/>
          <w:lang w:val="en-GB"/>
        </w:rPr>
      </w:pPr>
      <w:r w:rsidRPr="005F6C5F">
        <w:rPr>
          <w:color w:val="000000" w:themeColor="text1"/>
          <w:lang w:val="en-GB"/>
        </w:rPr>
        <w:lastRenderedPageBreak/>
        <w:t xml:space="preserve">These are </w:t>
      </w:r>
      <w:r w:rsidR="009F62BC" w:rsidRPr="005F6C5F">
        <w:rPr>
          <w:color w:val="000000" w:themeColor="text1"/>
          <w:lang w:val="en-GB"/>
        </w:rPr>
        <w:t>the kind of questions which informed the</w:t>
      </w:r>
      <w:r w:rsidRPr="005F6C5F">
        <w:rPr>
          <w:color w:val="000000" w:themeColor="text1"/>
          <w:lang w:val="en-GB"/>
        </w:rPr>
        <w:t xml:space="preserve"> second phase of my project</w:t>
      </w:r>
      <w:r w:rsidR="009F62BC" w:rsidRPr="005F6C5F">
        <w:rPr>
          <w:color w:val="000000" w:themeColor="text1"/>
          <w:lang w:val="en-GB"/>
        </w:rPr>
        <w:t xml:space="preserve"> and which </w:t>
      </w:r>
      <w:r w:rsidR="00F10EBC" w:rsidRPr="005F6C5F">
        <w:rPr>
          <w:color w:val="000000" w:themeColor="text1"/>
          <w:lang w:val="en-GB"/>
        </w:rPr>
        <w:t xml:space="preserve">I tried to answer by means of in-depth </w:t>
      </w:r>
      <w:r w:rsidR="009F62BC" w:rsidRPr="005F6C5F">
        <w:rPr>
          <w:color w:val="000000" w:themeColor="text1"/>
          <w:lang w:val="en-GB"/>
        </w:rPr>
        <w:t xml:space="preserve">interviews </w:t>
      </w:r>
      <w:r w:rsidR="00F10EBC" w:rsidRPr="005F6C5F">
        <w:rPr>
          <w:color w:val="000000" w:themeColor="text1"/>
          <w:lang w:val="en-GB"/>
        </w:rPr>
        <w:t xml:space="preserve">conducted </w:t>
      </w:r>
      <w:r w:rsidR="009F62BC" w:rsidRPr="005F6C5F">
        <w:rPr>
          <w:color w:val="000000" w:themeColor="text1"/>
          <w:lang w:val="en-GB"/>
        </w:rPr>
        <w:t>with</w:t>
      </w:r>
      <w:r w:rsidRPr="005F6C5F">
        <w:rPr>
          <w:color w:val="000000" w:themeColor="text1"/>
          <w:lang w:val="en-GB"/>
        </w:rPr>
        <w:t xml:space="preserve"> social workers and </w:t>
      </w:r>
      <w:r w:rsidR="009F62BC" w:rsidRPr="005F6C5F">
        <w:rPr>
          <w:color w:val="000000" w:themeColor="text1"/>
          <w:lang w:val="en-GB"/>
        </w:rPr>
        <w:t xml:space="preserve">service </w:t>
      </w:r>
      <w:r w:rsidRPr="005F6C5F">
        <w:rPr>
          <w:color w:val="000000" w:themeColor="text1"/>
          <w:lang w:val="en-GB"/>
        </w:rPr>
        <w:t>users</w:t>
      </w:r>
      <w:r w:rsidR="00F10EBC" w:rsidRPr="005F6C5F">
        <w:rPr>
          <w:color w:val="000000" w:themeColor="text1"/>
          <w:lang w:val="en-GB"/>
        </w:rPr>
        <w:t xml:space="preserve"> involved in the choice agendas policy network</w:t>
      </w:r>
      <w:r w:rsidRPr="005F6C5F">
        <w:rPr>
          <w:color w:val="000000" w:themeColor="text1"/>
          <w:lang w:val="en-GB"/>
        </w:rPr>
        <w:t>. I am still in the process of analysing the data</w:t>
      </w:r>
      <w:r w:rsidR="003143A0" w:rsidRPr="005F6C5F">
        <w:rPr>
          <w:color w:val="000000" w:themeColor="text1"/>
          <w:lang w:val="en-GB"/>
        </w:rPr>
        <w:t xml:space="preserve"> I have</w:t>
      </w:r>
      <w:r w:rsidRPr="005F6C5F">
        <w:rPr>
          <w:color w:val="000000" w:themeColor="text1"/>
          <w:lang w:val="en-GB"/>
        </w:rPr>
        <w:t xml:space="preserve"> so far collected</w:t>
      </w:r>
      <w:r w:rsidR="003143A0" w:rsidRPr="005F6C5F">
        <w:rPr>
          <w:color w:val="000000" w:themeColor="text1"/>
          <w:lang w:val="en-GB"/>
        </w:rPr>
        <w:t xml:space="preserve"> </w:t>
      </w:r>
      <w:r w:rsidR="00F10EBC" w:rsidRPr="005F6C5F">
        <w:rPr>
          <w:color w:val="000000" w:themeColor="text1"/>
          <w:lang w:val="en-GB"/>
        </w:rPr>
        <w:t>and I</w:t>
      </w:r>
      <w:r w:rsidRPr="005F6C5F">
        <w:rPr>
          <w:color w:val="000000" w:themeColor="text1"/>
          <w:lang w:val="en-GB"/>
        </w:rPr>
        <w:t xml:space="preserve"> </w:t>
      </w:r>
      <w:r w:rsidR="00F10EBC" w:rsidRPr="005F6C5F">
        <w:rPr>
          <w:color w:val="000000" w:themeColor="text1"/>
          <w:lang w:val="en-GB"/>
        </w:rPr>
        <w:t xml:space="preserve">endeavour to provide a preliminary overview of this second stage of my research in occasion of the second Transforming Care Conference, hence by the end of June 2019. </w:t>
      </w:r>
    </w:p>
    <w:p w14:paraId="4EBA6399" w14:textId="1B4319AF" w:rsidR="00DA6F3B" w:rsidRPr="005F6C5F" w:rsidRDefault="001248B3" w:rsidP="00393E33">
      <w:pPr>
        <w:spacing w:after="120" w:line="360" w:lineRule="auto"/>
        <w:jc w:val="both"/>
        <w:rPr>
          <w:color w:val="000000" w:themeColor="text1"/>
          <w:lang w:val="en-GB"/>
        </w:rPr>
      </w:pPr>
      <w:r w:rsidRPr="005F6C5F">
        <w:rPr>
          <w:color w:val="000000" w:themeColor="text1"/>
          <w:lang w:val="en-GB"/>
        </w:rPr>
        <w:t xml:space="preserve">In the meantime, I am conducting the fieldwork also for the Lombardian case </w:t>
      </w:r>
      <w:r w:rsidR="002C643C" w:rsidRPr="005F6C5F">
        <w:rPr>
          <w:color w:val="000000" w:themeColor="text1"/>
          <w:lang w:val="en-GB"/>
        </w:rPr>
        <w:t>and, again, in occasion of the Transforming Care Conference, I will offer some preliminary reflections on this work too.</w:t>
      </w:r>
    </w:p>
    <w:p w14:paraId="783CFC47" w14:textId="56A7285A" w:rsidR="002C643C" w:rsidRPr="005F6C5F" w:rsidRDefault="002C643C" w:rsidP="00393E33">
      <w:pPr>
        <w:spacing w:after="120" w:line="360" w:lineRule="auto"/>
        <w:jc w:val="both"/>
        <w:rPr>
          <w:color w:val="000000" w:themeColor="text1"/>
          <w:lang w:val="en-GB"/>
        </w:rPr>
      </w:pPr>
    </w:p>
    <w:p w14:paraId="65C3E893" w14:textId="2ACE6EFA" w:rsidR="002C643C" w:rsidRDefault="002C643C" w:rsidP="00393E33">
      <w:pPr>
        <w:spacing w:after="120" w:line="360" w:lineRule="auto"/>
        <w:jc w:val="both"/>
        <w:rPr>
          <w:b/>
          <w:color w:val="000000" w:themeColor="text1"/>
          <w:lang w:val="en-GB"/>
        </w:rPr>
      </w:pPr>
      <w:r w:rsidRPr="005F6C5F">
        <w:rPr>
          <w:b/>
          <w:color w:val="000000" w:themeColor="text1"/>
          <w:lang w:val="en-GB"/>
        </w:rPr>
        <w:t>List of references</w:t>
      </w:r>
    </w:p>
    <w:p w14:paraId="3D219202" w14:textId="77777777" w:rsidR="00314DA8" w:rsidRPr="00E9480B" w:rsidRDefault="00314DA8" w:rsidP="00314DA8">
      <w:pPr>
        <w:spacing w:after="120" w:line="240" w:lineRule="atLeast"/>
        <w:jc w:val="both"/>
        <w:rPr>
          <w:rFonts w:cstheme="minorHAnsi"/>
          <w:color w:val="000000" w:themeColor="text1"/>
          <w:lang w:val="en-GB"/>
        </w:rPr>
      </w:pPr>
      <w:proofErr w:type="spellStart"/>
      <w:r w:rsidRPr="00E9480B">
        <w:rPr>
          <w:rFonts w:cstheme="minorHAnsi"/>
          <w:color w:val="000000" w:themeColor="text1"/>
          <w:lang w:val="en-GB"/>
        </w:rPr>
        <w:t>Alcock</w:t>
      </w:r>
      <w:proofErr w:type="spellEnd"/>
      <w:r w:rsidRPr="00E9480B">
        <w:rPr>
          <w:rFonts w:cstheme="minorHAnsi"/>
          <w:color w:val="000000" w:themeColor="text1"/>
          <w:lang w:val="en-GB"/>
        </w:rPr>
        <w:t xml:space="preserve">, P. (2012) “The subject of social policy” in </w:t>
      </w:r>
      <w:proofErr w:type="spellStart"/>
      <w:r w:rsidRPr="00E9480B">
        <w:rPr>
          <w:rFonts w:cstheme="minorHAnsi"/>
          <w:color w:val="000000" w:themeColor="text1"/>
          <w:lang w:val="en-GB"/>
        </w:rPr>
        <w:t>Alcock</w:t>
      </w:r>
      <w:proofErr w:type="spellEnd"/>
      <w:r w:rsidRPr="00E9480B">
        <w:rPr>
          <w:rFonts w:cstheme="minorHAnsi"/>
          <w:color w:val="000000" w:themeColor="text1"/>
          <w:lang w:val="en-GB"/>
        </w:rPr>
        <w:t xml:space="preserve">, P., May, M. and Wright, S. eds. </w:t>
      </w:r>
      <w:r w:rsidRPr="00E9480B">
        <w:rPr>
          <w:rFonts w:cstheme="minorHAnsi"/>
          <w:i/>
          <w:color w:val="000000" w:themeColor="text1"/>
          <w:lang w:val="en-GB"/>
        </w:rPr>
        <w:t>The Student's Companion to Social Policy</w:t>
      </w:r>
      <w:r w:rsidRPr="00E9480B">
        <w:rPr>
          <w:rFonts w:cstheme="minorHAnsi"/>
          <w:color w:val="000000" w:themeColor="text1"/>
          <w:lang w:val="en-GB"/>
        </w:rPr>
        <w:t>, Oxford, Blackwell.</w:t>
      </w:r>
    </w:p>
    <w:p w14:paraId="4BEB27B9" w14:textId="77777777" w:rsidR="00314DA8" w:rsidRPr="00E9480B" w:rsidRDefault="00314DA8" w:rsidP="00314DA8">
      <w:pPr>
        <w:spacing w:after="120" w:line="240" w:lineRule="atLeast"/>
        <w:rPr>
          <w:rFonts w:cstheme="minorHAnsi"/>
          <w:color w:val="000000" w:themeColor="text1"/>
          <w:lang w:val="en-GB"/>
        </w:rPr>
      </w:pPr>
      <w:r w:rsidRPr="00E9480B">
        <w:rPr>
          <w:rFonts w:cstheme="minorHAnsi"/>
          <w:color w:val="000000" w:themeColor="text1"/>
          <w:lang w:val="en-GB"/>
        </w:rPr>
        <w:t xml:space="preserve">Association of Directors of Adult Social Services (ADASS) (2010). </w:t>
      </w:r>
      <w:r w:rsidRPr="00E9480B">
        <w:rPr>
          <w:rFonts w:cstheme="minorHAnsi"/>
          <w:i/>
          <w:color w:val="000000" w:themeColor="text1"/>
          <w:lang w:val="en-GB"/>
        </w:rPr>
        <w:t>Making resources work in a financial environment</w:t>
      </w:r>
      <w:r w:rsidRPr="00E9480B">
        <w:rPr>
          <w:rFonts w:cstheme="minorHAnsi"/>
          <w:color w:val="000000" w:themeColor="text1"/>
          <w:lang w:val="en-GB"/>
        </w:rPr>
        <w:t xml:space="preserve">. London: ADASS. </w:t>
      </w:r>
    </w:p>
    <w:p w14:paraId="175FCB9C" w14:textId="77777777" w:rsidR="00314DA8" w:rsidRPr="00E9480B" w:rsidRDefault="00314DA8" w:rsidP="00314DA8">
      <w:pPr>
        <w:spacing w:after="120" w:line="240" w:lineRule="atLeast"/>
        <w:rPr>
          <w:rFonts w:eastAsia="Times New Roman" w:cstheme="minorHAnsi"/>
          <w:color w:val="000000" w:themeColor="text1"/>
          <w:lang w:val="en-GB" w:eastAsia="en-GB"/>
        </w:rPr>
      </w:pPr>
      <w:r w:rsidRPr="00E9480B">
        <w:rPr>
          <w:rFonts w:eastAsia="Times New Roman" w:cstheme="minorHAnsi"/>
          <w:color w:val="000000" w:themeColor="text1"/>
          <w:lang w:val="en-GB" w:eastAsia="en-GB"/>
        </w:rPr>
        <w:t>Ball, S. (2006) “</w:t>
      </w:r>
      <w:r w:rsidRPr="00E9480B">
        <w:rPr>
          <w:rFonts w:eastAsia="Times New Roman" w:cstheme="minorHAnsi"/>
          <w:i/>
          <w:color w:val="000000" w:themeColor="text1"/>
          <w:lang w:val="en-GB" w:eastAsia="en-GB"/>
        </w:rPr>
        <w:t>What is policy? Texts, trajectories and toolboxes</w:t>
      </w:r>
      <w:r w:rsidRPr="00E9480B">
        <w:rPr>
          <w:rFonts w:eastAsia="Times New Roman" w:cstheme="minorHAnsi"/>
          <w:color w:val="000000" w:themeColor="text1"/>
          <w:lang w:val="en-GB" w:eastAsia="en-GB"/>
        </w:rPr>
        <w:t xml:space="preserve">”, Discourse: Studies in the cultural politics of education, Vol. 13. </w:t>
      </w:r>
    </w:p>
    <w:p w14:paraId="5112EC9F" w14:textId="77777777" w:rsidR="00314DA8" w:rsidRPr="00E9480B" w:rsidRDefault="00314DA8" w:rsidP="00314DA8">
      <w:pPr>
        <w:spacing w:after="120" w:line="240" w:lineRule="atLeast"/>
        <w:rPr>
          <w:rFonts w:cstheme="minorHAnsi"/>
          <w:color w:val="000000" w:themeColor="text1"/>
          <w:shd w:val="clear" w:color="auto" w:fill="FFFFFF"/>
        </w:rPr>
      </w:pPr>
      <w:r w:rsidRPr="00E9480B">
        <w:rPr>
          <w:rFonts w:cstheme="minorHAnsi"/>
          <w:color w:val="000000" w:themeColor="text1"/>
          <w:shd w:val="clear" w:color="auto" w:fill="FFFFFF"/>
        </w:rPr>
        <w:t xml:space="preserve">Ball, S. J. (2015). </w:t>
      </w:r>
      <w:proofErr w:type="spellStart"/>
      <w:r w:rsidRPr="00E9480B">
        <w:rPr>
          <w:rFonts w:cstheme="minorHAnsi"/>
          <w:color w:val="000000" w:themeColor="text1"/>
          <w:shd w:val="clear" w:color="auto" w:fill="FFFFFF"/>
        </w:rPr>
        <w:t>What</w:t>
      </w:r>
      <w:proofErr w:type="spellEnd"/>
      <w:r w:rsidRPr="00E9480B">
        <w:rPr>
          <w:rFonts w:cstheme="minorHAnsi"/>
          <w:color w:val="000000" w:themeColor="text1"/>
          <w:shd w:val="clear" w:color="auto" w:fill="FFFFFF"/>
        </w:rPr>
        <w:t xml:space="preserve"> </w:t>
      </w:r>
      <w:proofErr w:type="spellStart"/>
      <w:r w:rsidRPr="00E9480B">
        <w:rPr>
          <w:rFonts w:cstheme="minorHAnsi"/>
          <w:color w:val="000000" w:themeColor="text1"/>
          <w:shd w:val="clear" w:color="auto" w:fill="FFFFFF"/>
        </w:rPr>
        <w:t>is</w:t>
      </w:r>
      <w:proofErr w:type="spellEnd"/>
      <w:r w:rsidRPr="00E9480B">
        <w:rPr>
          <w:rFonts w:cstheme="minorHAnsi"/>
          <w:color w:val="000000" w:themeColor="text1"/>
          <w:shd w:val="clear" w:color="auto" w:fill="FFFFFF"/>
        </w:rPr>
        <w:t xml:space="preserve"> policy? 21 </w:t>
      </w:r>
      <w:proofErr w:type="spellStart"/>
      <w:r w:rsidRPr="00E9480B">
        <w:rPr>
          <w:rFonts w:cstheme="minorHAnsi"/>
          <w:color w:val="000000" w:themeColor="text1"/>
          <w:shd w:val="clear" w:color="auto" w:fill="FFFFFF"/>
        </w:rPr>
        <w:t>years</w:t>
      </w:r>
      <w:proofErr w:type="spellEnd"/>
      <w:r w:rsidRPr="00E9480B">
        <w:rPr>
          <w:rFonts w:cstheme="minorHAnsi"/>
          <w:color w:val="000000" w:themeColor="text1"/>
          <w:shd w:val="clear" w:color="auto" w:fill="FFFFFF"/>
        </w:rPr>
        <w:t xml:space="preserve"> </w:t>
      </w:r>
      <w:proofErr w:type="spellStart"/>
      <w:r w:rsidRPr="00E9480B">
        <w:rPr>
          <w:rFonts w:cstheme="minorHAnsi"/>
          <w:color w:val="000000" w:themeColor="text1"/>
          <w:shd w:val="clear" w:color="auto" w:fill="FFFFFF"/>
        </w:rPr>
        <w:t>later</w:t>
      </w:r>
      <w:proofErr w:type="spellEnd"/>
      <w:r w:rsidRPr="00E9480B">
        <w:rPr>
          <w:rFonts w:cstheme="minorHAnsi"/>
          <w:color w:val="000000" w:themeColor="text1"/>
          <w:shd w:val="clear" w:color="auto" w:fill="FFFFFF"/>
        </w:rPr>
        <w:t xml:space="preserve">: </w:t>
      </w:r>
      <w:proofErr w:type="spellStart"/>
      <w:r w:rsidRPr="00E9480B">
        <w:rPr>
          <w:rFonts w:cstheme="minorHAnsi"/>
          <w:color w:val="000000" w:themeColor="text1"/>
          <w:shd w:val="clear" w:color="auto" w:fill="FFFFFF"/>
        </w:rPr>
        <w:t>Reflections</w:t>
      </w:r>
      <w:proofErr w:type="spellEnd"/>
      <w:r w:rsidRPr="00E9480B">
        <w:rPr>
          <w:rFonts w:cstheme="minorHAnsi"/>
          <w:color w:val="000000" w:themeColor="text1"/>
          <w:shd w:val="clear" w:color="auto" w:fill="FFFFFF"/>
        </w:rPr>
        <w:t xml:space="preserve"> on the </w:t>
      </w:r>
      <w:proofErr w:type="spellStart"/>
      <w:r w:rsidRPr="00E9480B">
        <w:rPr>
          <w:rFonts w:cstheme="minorHAnsi"/>
          <w:color w:val="000000" w:themeColor="text1"/>
          <w:shd w:val="clear" w:color="auto" w:fill="FFFFFF"/>
        </w:rPr>
        <w:t>possibilities</w:t>
      </w:r>
      <w:proofErr w:type="spellEnd"/>
      <w:r w:rsidRPr="00E9480B">
        <w:rPr>
          <w:rFonts w:cstheme="minorHAnsi"/>
          <w:color w:val="000000" w:themeColor="text1"/>
          <w:shd w:val="clear" w:color="auto" w:fill="FFFFFF"/>
        </w:rPr>
        <w:t xml:space="preserve"> of policy </w:t>
      </w:r>
      <w:proofErr w:type="spellStart"/>
      <w:r w:rsidRPr="00E9480B">
        <w:rPr>
          <w:rFonts w:cstheme="minorHAnsi"/>
          <w:color w:val="000000" w:themeColor="text1"/>
          <w:shd w:val="clear" w:color="auto" w:fill="FFFFFF"/>
        </w:rPr>
        <w:t>research</w:t>
      </w:r>
      <w:proofErr w:type="spellEnd"/>
      <w:r w:rsidRPr="00E9480B">
        <w:rPr>
          <w:rFonts w:cstheme="minorHAnsi"/>
          <w:color w:val="000000" w:themeColor="text1"/>
          <w:shd w:val="clear" w:color="auto" w:fill="FFFFFF"/>
        </w:rPr>
        <w:t>. </w:t>
      </w:r>
      <w:proofErr w:type="spellStart"/>
      <w:r w:rsidRPr="00E9480B">
        <w:rPr>
          <w:rFonts w:cstheme="minorHAnsi"/>
          <w:i/>
          <w:iCs/>
          <w:color w:val="000000" w:themeColor="text1"/>
          <w:shd w:val="clear" w:color="auto" w:fill="FFFFFF"/>
        </w:rPr>
        <w:t>Discourse</w:t>
      </w:r>
      <w:proofErr w:type="spellEnd"/>
      <w:r w:rsidRPr="00E9480B">
        <w:rPr>
          <w:rFonts w:cstheme="minorHAnsi"/>
          <w:i/>
          <w:iCs/>
          <w:color w:val="000000" w:themeColor="text1"/>
          <w:shd w:val="clear" w:color="auto" w:fill="FFFFFF"/>
        </w:rPr>
        <w:t xml:space="preserve">: Studies in the cultural </w:t>
      </w:r>
      <w:proofErr w:type="spellStart"/>
      <w:r w:rsidRPr="00E9480B">
        <w:rPr>
          <w:rFonts w:cstheme="minorHAnsi"/>
          <w:i/>
          <w:iCs/>
          <w:color w:val="000000" w:themeColor="text1"/>
          <w:shd w:val="clear" w:color="auto" w:fill="FFFFFF"/>
        </w:rPr>
        <w:t>politics</w:t>
      </w:r>
      <w:proofErr w:type="spellEnd"/>
      <w:r w:rsidRPr="00E9480B">
        <w:rPr>
          <w:rFonts w:cstheme="minorHAnsi"/>
          <w:i/>
          <w:iCs/>
          <w:color w:val="000000" w:themeColor="text1"/>
          <w:shd w:val="clear" w:color="auto" w:fill="FFFFFF"/>
        </w:rPr>
        <w:t xml:space="preserve"> of </w:t>
      </w:r>
      <w:proofErr w:type="spellStart"/>
      <w:r w:rsidRPr="00E9480B">
        <w:rPr>
          <w:rFonts w:cstheme="minorHAnsi"/>
          <w:i/>
          <w:iCs/>
          <w:color w:val="000000" w:themeColor="text1"/>
          <w:shd w:val="clear" w:color="auto" w:fill="FFFFFF"/>
        </w:rPr>
        <w:t>education</w:t>
      </w:r>
      <w:proofErr w:type="spellEnd"/>
      <w:r w:rsidRPr="00E9480B">
        <w:rPr>
          <w:rFonts w:cstheme="minorHAnsi"/>
          <w:color w:val="000000" w:themeColor="text1"/>
          <w:shd w:val="clear" w:color="auto" w:fill="FFFFFF"/>
        </w:rPr>
        <w:t>, </w:t>
      </w:r>
      <w:r w:rsidRPr="00E9480B">
        <w:rPr>
          <w:rFonts w:cstheme="minorHAnsi"/>
          <w:i/>
          <w:iCs/>
          <w:color w:val="000000" w:themeColor="text1"/>
          <w:shd w:val="clear" w:color="auto" w:fill="FFFFFF"/>
        </w:rPr>
        <w:t>36</w:t>
      </w:r>
      <w:r w:rsidRPr="00E9480B">
        <w:rPr>
          <w:rFonts w:cstheme="minorHAnsi"/>
          <w:color w:val="000000" w:themeColor="text1"/>
          <w:shd w:val="clear" w:color="auto" w:fill="FFFFFF"/>
        </w:rPr>
        <w:t>(3), 306-313.</w:t>
      </w:r>
    </w:p>
    <w:p w14:paraId="5E0C7E81" w14:textId="77777777" w:rsidR="00314DA8" w:rsidRPr="00E9480B" w:rsidRDefault="00314DA8" w:rsidP="00314DA8">
      <w:pPr>
        <w:spacing w:after="120" w:line="240" w:lineRule="atLeast"/>
        <w:rPr>
          <w:rFonts w:cstheme="minorHAnsi"/>
          <w:color w:val="000000" w:themeColor="text1"/>
          <w:shd w:val="clear" w:color="auto" w:fill="FFFFFF"/>
        </w:rPr>
      </w:pPr>
      <w:r w:rsidRPr="00E9480B">
        <w:rPr>
          <w:rFonts w:cstheme="minorHAnsi"/>
          <w:color w:val="000000" w:themeColor="text1"/>
          <w:shd w:val="clear" w:color="auto" w:fill="FFFFFF"/>
        </w:rPr>
        <w:t xml:space="preserve">Ball, S. J. (2016). Following policy: Networks, network </w:t>
      </w:r>
      <w:proofErr w:type="spellStart"/>
      <w:r w:rsidRPr="00E9480B">
        <w:rPr>
          <w:rFonts w:cstheme="minorHAnsi"/>
          <w:color w:val="000000" w:themeColor="text1"/>
          <w:shd w:val="clear" w:color="auto" w:fill="FFFFFF"/>
        </w:rPr>
        <w:t>ethnography</w:t>
      </w:r>
      <w:proofErr w:type="spellEnd"/>
      <w:r w:rsidRPr="00E9480B">
        <w:rPr>
          <w:rFonts w:cstheme="minorHAnsi"/>
          <w:color w:val="000000" w:themeColor="text1"/>
          <w:shd w:val="clear" w:color="auto" w:fill="FFFFFF"/>
        </w:rPr>
        <w:t xml:space="preserve"> and </w:t>
      </w:r>
      <w:proofErr w:type="spellStart"/>
      <w:r w:rsidRPr="00E9480B">
        <w:rPr>
          <w:rFonts w:cstheme="minorHAnsi"/>
          <w:color w:val="000000" w:themeColor="text1"/>
          <w:shd w:val="clear" w:color="auto" w:fill="FFFFFF"/>
        </w:rPr>
        <w:t>education</w:t>
      </w:r>
      <w:proofErr w:type="spellEnd"/>
      <w:r w:rsidRPr="00E9480B">
        <w:rPr>
          <w:rFonts w:cstheme="minorHAnsi"/>
          <w:color w:val="000000" w:themeColor="text1"/>
          <w:shd w:val="clear" w:color="auto" w:fill="FFFFFF"/>
        </w:rPr>
        <w:t xml:space="preserve"> policy </w:t>
      </w:r>
      <w:proofErr w:type="spellStart"/>
      <w:r w:rsidRPr="00E9480B">
        <w:rPr>
          <w:rFonts w:cstheme="minorHAnsi"/>
          <w:color w:val="000000" w:themeColor="text1"/>
          <w:shd w:val="clear" w:color="auto" w:fill="FFFFFF"/>
        </w:rPr>
        <w:t>mobilities</w:t>
      </w:r>
      <w:proofErr w:type="spellEnd"/>
      <w:r w:rsidRPr="00E9480B">
        <w:rPr>
          <w:rFonts w:cstheme="minorHAnsi"/>
          <w:color w:val="000000" w:themeColor="text1"/>
          <w:shd w:val="clear" w:color="auto" w:fill="FFFFFF"/>
        </w:rPr>
        <w:t>. </w:t>
      </w:r>
      <w:r w:rsidRPr="00E9480B">
        <w:rPr>
          <w:rFonts w:cstheme="minorHAnsi"/>
          <w:i/>
          <w:iCs/>
          <w:color w:val="000000" w:themeColor="text1"/>
          <w:shd w:val="clear" w:color="auto" w:fill="FFFFFF"/>
        </w:rPr>
        <w:t xml:space="preserve">Journal of </w:t>
      </w:r>
      <w:proofErr w:type="spellStart"/>
      <w:r w:rsidRPr="00E9480B">
        <w:rPr>
          <w:rFonts w:cstheme="minorHAnsi"/>
          <w:i/>
          <w:iCs/>
          <w:color w:val="000000" w:themeColor="text1"/>
          <w:shd w:val="clear" w:color="auto" w:fill="FFFFFF"/>
        </w:rPr>
        <w:t>Education</w:t>
      </w:r>
      <w:proofErr w:type="spellEnd"/>
      <w:r w:rsidRPr="00E9480B">
        <w:rPr>
          <w:rFonts w:cstheme="minorHAnsi"/>
          <w:i/>
          <w:iCs/>
          <w:color w:val="000000" w:themeColor="text1"/>
          <w:shd w:val="clear" w:color="auto" w:fill="FFFFFF"/>
        </w:rPr>
        <w:t xml:space="preserve"> Policy</w:t>
      </w:r>
      <w:r w:rsidRPr="00E9480B">
        <w:rPr>
          <w:rFonts w:cstheme="minorHAnsi"/>
          <w:color w:val="000000" w:themeColor="text1"/>
          <w:shd w:val="clear" w:color="auto" w:fill="FFFFFF"/>
        </w:rPr>
        <w:t>, </w:t>
      </w:r>
      <w:r w:rsidRPr="00E9480B">
        <w:rPr>
          <w:rFonts w:cstheme="minorHAnsi"/>
          <w:i/>
          <w:iCs/>
          <w:color w:val="000000" w:themeColor="text1"/>
          <w:shd w:val="clear" w:color="auto" w:fill="FFFFFF"/>
        </w:rPr>
        <w:t>31</w:t>
      </w:r>
      <w:r w:rsidRPr="00E9480B">
        <w:rPr>
          <w:rFonts w:cstheme="minorHAnsi"/>
          <w:color w:val="000000" w:themeColor="text1"/>
          <w:shd w:val="clear" w:color="auto" w:fill="FFFFFF"/>
        </w:rPr>
        <w:t>(5), 549-566.</w:t>
      </w:r>
    </w:p>
    <w:p w14:paraId="205E068A" w14:textId="77777777" w:rsidR="00314DA8" w:rsidRPr="00E9480B" w:rsidRDefault="00314DA8" w:rsidP="00314DA8">
      <w:pPr>
        <w:spacing w:after="120" w:line="240" w:lineRule="atLeast"/>
        <w:jc w:val="both"/>
        <w:rPr>
          <w:rFonts w:eastAsia="Times New Roman" w:cstheme="minorHAnsi"/>
          <w:color w:val="000000" w:themeColor="text1"/>
          <w:lang w:val="en-GB" w:eastAsia="en-GB"/>
        </w:rPr>
      </w:pPr>
      <w:r w:rsidRPr="00E9480B">
        <w:rPr>
          <w:rFonts w:eastAsia="Times New Roman" w:cstheme="minorHAnsi"/>
          <w:color w:val="000000" w:themeColor="text1"/>
          <w:lang w:val="en-GB" w:eastAsia="en-GB"/>
        </w:rPr>
        <w:t xml:space="preserve">Beresford, P. (2014). </w:t>
      </w:r>
      <w:r w:rsidRPr="00E9480B">
        <w:rPr>
          <w:rFonts w:eastAsia="Times New Roman" w:cstheme="minorHAnsi"/>
          <w:i/>
          <w:color w:val="000000" w:themeColor="text1"/>
          <w:lang w:val="en-GB" w:eastAsia="en-GB"/>
        </w:rPr>
        <w:t>Personalisation</w:t>
      </w:r>
      <w:r w:rsidRPr="00E9480B">
        <w:rPr>
          <w:rFonts w:eastAsia="Times New Roman" w:cstheme="minorHAnsi"/>
          <w:color w:val="000000" w:themeColor="text1"/>
          <w:lang w:val="en-GB" w:eastAsia="en-GB"/>
        </w:rPr>
        <w:t xml:space="preserve">. Bristol: Policy Press. </w:t>
      </w:r>
    </w:p>
    <w:p w14:paraId="522D9048" w14:textId="77777777" w:rsidR="00314DA8" w:rsidRPr="00E9480B" w:rsidRDefault="00314DA8" w:rsidP="00314DA8">
      <w:pPr>
        <w:spacing w:after="120" w:line="240" w:lineRule="atLeast"/>
        <w:jc w:val="both"/>
        <w:rPr>
          <w:rFonts w:eastAsia="Times New Roman" w:cstheme="minorHAnsi"/>
          <w:color w:val="000000" w:themeColor="text1"/>
          <w:lang w:val="en-GB" w:eastAsia="en-GB"/>
        </w:rPr>
      </w:pPr>
      <w:proofErr w:type="spellStart"/>
      <w:r w:rsidRPr="000B2E3E">
        <w:rPr>
          <w:rFonts w:eastAsia="Times New Roman" w:cstheme="minorHAnsi"/>
          <w:color w:val="000000" w:themeColor="text1"/>
          <w:lang w:val="en-GB" w:eastAsia="en-GB"/>
        </w:rPr>
        <w:t>Bevir</w:t>
      </w:r>
      <w:proofErr w:type="spellEnd"/>
      <w:r w:rsidRPr="000B2E3E">
        <w:rPr>
          <w:rFonts w:eastAsia="Times New Roman" w:cstheme="minorHAnsi"/>
          <w:color w:val="000000" w:themeColor="text1"/>
          <w:lang w:val="en-GB" w:eastAsia="en-GB"/>
        </w:rPr>
        <w:t>, M., &amp; Rhodes, R. A. W. (2003). Searching for civil society: changing patterns of governance in Britain. </w:t>
      </w:r>
      <w:r w:rsidRPr="000B2E3E">
        <w:rPr>
          <w:rFonts w:eastAsia="Times New Roman" w:cstheme="minorHAnsi"/>
          <w:i/>
          <w:iCs/>
          <w:color w:val="000000" w:themeColor="text1"/>
          <w:lang w:val="en-GB" w:eastAsia="en-GB"/>
        </w:rPr>
        <w:t>Public Administration</w:t>
      </w:r>
      <w:r w:rsidRPr="000B2E3E">
        <w:rPr>
          <w:rFonts w:eastAsia="Times New Roman" w:cstheme="minorHAnsi"/>
          <w:color w:val="000000" w:themeColor="text1"/>
          <w:lang w:val="en-GB" w:eastAsia="en-GB"/>
        </w:rPr>
        <w:t>, </w:t>
      </w:r>
      <w:r w:rsidRPr="000B2E3E">
        <w:rPr>
          <w:rFonts w:eastAsia="Times New Roman" w:cstheme="minorHAnsi"/>
          <w:i/>
          <w:iCs/>
          <w:color w:val="000000" w:themeColor="text1"/>
          <w:lang w:val="en-GB" w:eastAsia="en-GB"/>
        </w:rPr>
        <w:t>81</w:t>
      </w:r>
      <w:r w:rsidRPr="000B2E3E">
        <w:rPr>
          <w:rFonts w:eastAsia="Times New Roman" w:cstheme="minorHAnsi"/>
          <w:color w:val="000000" w:themeColor="text1"/>
          <w:lang w:val="en-GB" w:eastAsia="en-GB"/>
        </w:rPr>
        <w:t>(1), 41-62.</w:t>
      </w:r>
    </w:p>
    <w:p w14:paraId="3905042E" w14:textId="77777777" w:rsidR="00314DA8" w:rsidRPr="00E9480B" w:rsidRDefault="00314DA8" w:rsidP="00314DA8">
      <w:pPr>
        <w:spacing w:after="120" w:line="240" w:lineRule="atLeast"/>
        <w:jc w:val="both"/>
        <w:rPr>
          <w:rFonts w:eastAsia="Times New Roman" w:cstheme="minorHAnsi"/>
          <w:color w:val="000000" w:themeColor="text1"/>
          <w:lang w:val="en-GB" w:eastAsia="en-GB"/>
        </w:rPr>
      </w:pPr>
      <w:proofErr w:type="spellStart"/>
      <w:r w:rsidRPr="00E9480B">
        <w:rPr>
          <w:rFonts w:eastAsia="Times New Roman" w:cstheme="minorHAnsi"/>
          <w:color w:val="000000" w:themeColor="text1"/>
          <w:lang w:val="en-GB" w:eastAsia="en-GB"/>
        </w:rPr>
        <w:t>Bifulco</w:t>
      </w:r>
      <w:proofErr w:type="spellEnd"/>
      <w:r w:rsidRPr="00E9480B">
        <w:rPr>
          <w:rFonts w:eastAsia="Times New Roman" w:cstheme="minorHAnsi"/>
          <w:color w:val="000000" w:themeColor="text1"/>
          <w:lang w:val="en-GB" w:eastAsia="en-GB"/>
        </w:rPr>
        <w:t>, L. (2011) “Quasi-</w:t>
      </w:r>
      <w:proofErr w:type="spellStart"/>
      <w:r w:rsidRPr="00E9480B">
        <w:rPr>
          <w:rFonts w:eastAsia="Times New Roman" w:cstheme="minorHAnsi"/>
          <w:color w:val="000000" w:themeColor="text1"/>
          <w:lang w:val="en-GB" w:eastAsia="en-GB"/>
        </w:rPr>
        <w:t>mercato</w:t>
      </w:r>
      <w:proofErr w:type="spellEnd"/>
      <w:r w:rsidRPr="00E9480B">
        <w:rPr>
          <w:rFonts w:eastAsia="Times New Roman" w:cstheme="minorHAnsi"/>
          <w:color w:val="000000" w:themeColor="text1"/>
          <w:lang w:val="en-GB" w:eastAsia="en-GB"/>
        </w:rPr>
        <w:t xml:space="preserve"> e </w:t>
      </w:r>
      <w:proofErr w:type="spellStart"/>
      <w:r w:rsidRPr="00E9480B">
        <w:rPr>
          <w:rFonts w:eastAsia="Times New Roman" w:cstheme="minorHAnsi"/>
          <w:color w:val="000000" w:themeColor="text1"/>
          <w:lang w:val="en-GB" w:eastAsia="en-GB"/>
        </w:rPr>
        <w:t>sussidiarietà</w:t>
      </w:r>
      <w:proofErr w:type="spellEnd"/>
      <w:r w:rsidRPr="00E9480B">
        <w:rPr>
          <w:rFonts w:eastAsia="Times New Roman" w:cstheme="minorHAnsi"/>
          <w:color w:val="000000" w:themeColor="text1"/>
          <w:lang w:val="en-GB" w:eastAsia="en-GB"/>
        </w:rPr>
        <w:t xml:space="preserve"> come </w:t>
      </w:r>
      <w:proofErr w:type="spellStart"/>
      <w:r w:rsidRPr="00E9480B">
        <w:rPr>
          <w:rFonts w:eastAsia="Times New Roman" w:cstheme="minorHAnsi"/>
          <w:color w:val="000000" w:themeColor="text1"/>
          <w:lang w:val="en-GB" w:eastAsia="en-GB"/>
        </w:rPr>
        <w:t>pilastri</w:t>
      </w:r>
      <w:proofErr w:type="spellEnd"/>
      <w:r w:rsidRPr="00E9480B">
        <w:rPr>
          <w:rFonts w:eastAsia="Times New Roman" w:cstheme="minorHAnsi"/>
          <w:color w:val="000000" w:themeColor="text1"/>
          <w:lang w:val="en-GB" w:eastAsia="en-GB"/>
        </w:rPr>
        <w:t xml:space="preserve"> del </w:t>
      </w:r>
      <w:proofErr w:type="spellStart"/>
      <w:r w:rsidRPr="00E9480B">
        <w:rPr>
          <w:rFonts w:eastAsia="Times New Roman" w:cstheme="minorHAnsi"/>
          <w:color w:val="000000" w:themeColor="text1"/>
          <w:lang w:val="en-GB" w:eastAsia="en-GB"/>
        </w:rPr>
        <w:t>modello</w:t>
      </w:r>
      <w:proofErr w:type="spellEnd"/>
      <w:r w:rsidRPr="00E9480B">
        <w:rPr>
          <w:rFonts w:eastAsia="Times New Roman" w:cstheme="minorHAnsi"/>
          <w:color w:val="000000" w:themeColor="text1"/>
          <w:lang w:val="en-GB" w:eastAsia="en-GB"/>
        </w:rPr>
        <w:t xml:space="preserve"> Lombardo di welfare” in</w:t>
      </w:r>
      <w:r w:rsidRPr="00E9480B">
        <w:rPr>
          <w:rFonts w:eastAsia="Times New Roman" w:cstheme="minorHAnsi"/>
          <w:i/>
          <w:color w:val="000000" w:themeColor="text1"/>
          <w:lang w:val="en-GB" w:eastAsia="en-GB"/>
        </w:rPr>
        <w:t xml:space="preserve"> </w:t>
      </w:r>
      <w:proofErr w:type="spellStart"/>
      <w:r w:rsidRPr="00E9480B">
        <w:rPr>
          <w:rFonts w:eastAsia="Times New Roman" w:cstheme="minorHAnsi"/>
          <w:color w:val="000000" w:themeColor="text1"/>
          <w:lang w:val="en-GB" w:eastAsia="en-GB"/>
        </w:rPr>
        <w:t>Carabelli</w:t>
      </w:r>
      <w:proofErr w:type="spellEnd"/>
      <w:r w:rsidRPr="00E9480B">
        <w:rPr>
          <w:rFonts w:eastAsia="Times New Roman" w:cstheme="minorHAnsi"/>
          <w:color w:val="000000" w:themeColor="text1"/>
          <w:lang w:val="en-GB" w:eastAsia="en-GB"/>
        </w:rPr>
        <w:t xml:space="preserve">, G. and </w:t>
      </w:r>
      <w:proofErr w:type="spellStart"/>
      <w:r w:rsidRPr="00E9480B">
        <w:rPr>
          <w:rFonts w:eastAsia="Times New Roman" w:cstheme="minorHAnsi"/>
          <w:color w:val="000000" w:themeColor="text1"/>
          <w:lang w:val="en-GB" w:eastAsia="en-GB"/>
        </w:rPr>
        <w:t>Facchini</w:t>
      </w:r>
      <w:proofErr w:type="spellEnd"/>
      <w:r w:rsidRPr="00E9480B">
        <w:rPr>
          <w:rFonts w:eastAsia="Times New Roman" w:cstheme="minorHAnsi"/>
          <w:color w:val="000000" w:themeColor="text1"/>
          <w:lang w:val="en-GB" w:eastAsia="en-GB"/>
        </w:rPr>
        <w:t xml:space="preserve"> C., </w:t>
      </w:r>
      <w:r w:rsidRPr="00E9480B">
        <w:rPr>
          <w:rFonts w:eastAsia="Times New Roman" w:cstheme="minorHAnsi"/>
          <w:i/>
          <w:color w:val="000000" w:themeColor="text1"/>
          <w:lang w:val="en-GB" w:eastAsia="en-GB"/>
        </w:rPr>
        <w:t xml:space="preserve">Il </w:t>
      </w:r>
      <w:proofErr w:type="spellStart"/>
      <w:r w:rsidRPr="00E9480B">
        <w:rPr>
          <w:rFonts w:eastAsia="Times New Roman" w:cstheme="minorHAnsi"/>
          <w:i/>
          <w:color w:val="000000" w:themeColor="text1"/>
          <w:lang w:val="en-GB" w:eastAsia="en-GB"/>
        </w:rPr>
        <w:t>modello</w:t>
      </w:r>
      <w:proofErr w:type="spellEnd"/>
      <w:r w:rsidRPr="00E9480B">
        <w:rPr>
          <w:rFonts w:eastAsia="Times New Roman" w:cstheme="minorHAnsi"/>
          <w:i/>
          <w:color w:val="000000" w:themeColor="text1"/>
          <w:lang w:val="en-GB" w:eastAsia="en-GB"/>
        </w:rPr>
        <w:t xml:space="preserve"> </w:t>
      </w:r>
      <w:proofErr w:type="spellStart"/>
      <w:r w:rsidRPr="00E9480B">
        <w:rPr>
          <w:rFonts w:eastAsia="Times New Roman" w:cstheme="minorHAnsi"/>
          <w:i/>
          <w:color w:val="000000" w:themeColor="text1"/>
          <w:lang w:val="en-GB" w:eastAsia="en-GB"/>
        </w:rPr>
        <w:t>lombardo</w:t>
      </w:r>
      <w:proofErr w:type="spellEnd"/>
      <w:r w:rsidRPr="00E9480B">
        <w:rPr>
          <w:rFonts w:eastAsia="Times New Roman" w:cstheme="minorHAnsi"/>
          <w:i/>
          <w:color w:val="000000" w:themeColor="text1"/>
          <w:lang w:val="en-GB" w:eastAsia="en-GB"/>
        </w:rPr>
        <w:t xml:space="preserve"> di Welfare. </w:t>
      </w:r>
      <w:proofErr w:type="spellStart"/>
      <w:r w:rsidRPr="00E9480B">
        <w:rPr>
          <w:rFonts w:eastAsia="Times New Roman" w:cstheme="minorHAnsi"/>
          <w:i/>
          <w:color w:val="000000" w:themeColor="text1"/>
          <w:lang w:val="en-GB" w:eastAsia="en-GB"/>
        </w:rPr>
        <w:t>Continuità</w:t>
      </w:r>
      <w:proofErr w:type="spellEnd"/>
      <w:r w:rsidRPr="00E9480B">
        <w:rPr>
          <w:rFonts w:eastAsia="Times New Roman" w:cstheme="minorHAnsi"/>
          <w:i/>
          <w:color w:val="000000" w:themeColor="text1"/>
          <w:lang w:val="en-GB" w:eastAsia="en-GB"/>
        </w:rPr>
        <w:t xml:space="preserve">, </w:t>
      </w:r>
      <w:proofErr w:type="spellStart"/>
      <w:r w:rsidRPr="00E9480B">
        <w:rPr>
          <w:rFonts w:eastAsia="Times New Roman" w:cstheme="minorHAnsi"/>
          <w:i/>
          <w:color w:val="000000" w:themeColor="text1"/>
          <w:lang w:val="en-GB" w:eastAsia="en-GB"/>
        </w:rPr>
        <w:t>riassestamenti</w:t>
      </w:r>
      <w:proofErr w:type="spellEnd"/>
      <w:r w:rsidRPr="00E9480B">
        <w:rPr>
          <w:rFonts w:eastAsia="Times New Roman" w:cstheme="minorHAnsi"/>
          <w:i/>
          <w:color w:val="000000" w:themeColor="text1"/>
          <w:lang w:val="en-GB" w:eastAsia="en-GB"/>
        </w:rPr>
        <w:t xml:space="preserve">, </w:t>
      </w:r>
      <w:proofErr w:type="spellStart"/>
      <w:r w:rsidRPr="00E9480B">
        <w:rPr>
          <w:rFonts w:eastAsia="Times New Roman" w:cstheme="minorHAnsi"/>
          <w:i/>
          <w:color w:val="000000" w:themeColor="text1"/>
          <w:lang w:val="en-GB" w:eastAsia="en-GB"/>
        </w:rPr>
        <w:t>prospettive</w:t>
      </w:r>
      <w:proofErr w:type="spellEnd"/>
      <w:r w:rsidRPr="00E9480B">
        <w:rPr>
          <w:rFonts w:eastAsia="Times New Roman" w:cstheme="minorHAnsi"/>
          <w:color w:val="000000" w:themeColor="text1"/>
          <w:lang w:val="en-GB" w:eastAsia="en-GB"/>
        </w:rPr>
        <w:t xml:space="preserve">, Milano, </w:t>
      </w:r>
      <w:proofErr w:type="spellStart"/>
      <w:r w:rsidRPr="00E9480B">
        <w:rPr>
          <w:rFonts w:eastAsia="Times New Roman" w:cstheme="minorHAnsi"/>
          <w:color w:val="000000" w:themeColor="text1"/>
          <w:lang w:val="en-GB" w:eastAsia="en-GB"/>
        </w:rPr>
        <w:t>FrancoAngeli</w:t>
      </w:r>
      <w:proofErr w:type="spellEnd"/>
      <w:r w:rsidRPr="00E9480B">
        <w:rPr>
          <w:rFonts w:eastAsia="Times New Roman" w:cstheme="minorHAnsi"/>
          <w:color w:val="000000" w:themeColor="text1"/>
          <w:lang w:val="en-GB" w:eastAsia="en-GB"/>
        </w:rPr>
        <w:t>.</w:t>
      </w:r>
    </w:p>
    <w:p w14:paraId="107E3361" w14:textId="77777777" w:rsidR="00314DA8" w:rsidRPr="00E9480B" w:rsidRDefault="00314DA8" w:rsidP="00314DA8">
      <w:pPr>
        <w:spacing w:after="120" w:line="240" w:lineRule="atLeast"/>
        <w:jc w:val="both"/>
        <w:rPr>
          <w:rFonts w:eastAsia="Times New Roman" w:cstheme="minorHAnsi"/>
          <w:color w:val="000000" w:themeColor="text1"/>
          <w:lang w:val="en-GB" w:eastAsia="en-GB"/>
        </w:rPr>
      </w:pPr>
      <w:r w:rsidRPr="00E9480B">
        <w:rPr>
          <w:rFonts w:ascii="Arial" w:hAnsi="Arial" w:cs="Arial"/>
          <w:color w:val="222222"/>
          <w:sz w:val="20"/>
          <w:szCs w:val="20"/>
          <w:shd w:val="clear" w:color="auto" w:fill="FFFFFF"/>
        </w:rPr>
        <w:t>Bifulco, L. (2016). </w:t>
      </w:r>
      <w:r w:rsidRPr="00E9480B">
        <w:rPr>
          <w:rFonts w:ascii="Arial" w:hAnsi="Arial" w:cs="Arial"/>
          <w:i/>
          <w:iCs/>
          <w:color w:val="222222"/>
          <w:sz w:val="20"/>
          <w:szCs w:val="20"/>
          <w:shd w:val="clear" w:color="auto" w:fill="FFFFFF"/>
        </w:rPr>
        <w:t>Social policies and public action</w:t>
      </w:r>
      <w:r w:rsidRPr="00E9480B">
        <w:rPr>
          <w:rFonts w:ascii="Arial" w:hAnsi="Arial" w:cs="Arial"/>
          <w:color w:val="222222"/>
          <w:sz w:val="20"/>
          <w:szCs w:val="20"/>
          <w:shd w:val="clear" w:color="auto" w:fill="FFFFFF"/>
        </w:rPr>
        <w:t xml:space="preserve">. </w:t>
      </w:r>
      <w:proofErr w:type="spellStart"/>
      <w:r w:rsidRPr="00E9480B">
        <w:rPr>
          <w:rFonts w:ascii="Arial" w:hAnsi="Arial" w:cs="Arial"/>
          <w:color w:val="222222"/>
          <w:sz w:val="20"/>
          <w:szCs w:val="20"/>
          <w:shd w:val="clear" w:color="auto" w:fill="FFFFFF"/>
        </w:rPr>
        <w:t>Routledge</w:t>
      </w:r>
      <w:proofErr w:type="spellEnd"/>
      <w:r w:rsidRPr="00E9480B">
        <w:rPr>
          <w:rFonts w:ascii="Arial" w:hAnsi="Arial" w:cs="Arial"/>
          <w:color w:val="222222"/>
          <w:sz w:val="20"/>
          <w:szCs w:val="20"/>
          <w:shd w:val="clear" w:color="auto" w:fill="FFFFFF"/>
        </w:rPr>
        <w:t>.</w:t>
      </w:r>
    </w:p>
    <w:p w14:paraId="5485BB79" w14:textId="77777777" w:rsidR="00314DA8" w:rsidRPr="00E9480B" w:rsidRDefault="00314DA8" w:rsidP="00314DA8">
      <w:pPr>
        <w:spacing w:after="120" w:line="240" w:lineRule="atLeast"/>
        <w:jc w:val="both"/>
        <w:rPr>
          <w:rFonts w:cstheme="minorHAnsi"/>
          <w:color w:val="000000" w:themeColor="text1"/>
          <w:shd w:val="clear" w:color="auto" w:fill="FFFFFF"/>
          <w:lang w:val="en-GB"/>
        </w:rPr>
      </w:pPr>
      <w:proofErr w:type="spellStart"/>
      <w:r w:rsidRPr="00E9480B">
        <w:rPr>
          <w:rFonts w:cstheme="minorHAnsi"/>
          <w:color w:val="000000" w:themeColor="text1"/>
          <w:shd w:val="clear" w:color="auto" w:fill="FFFFFF"/>
          <w:lang w:val="en-GB"/>
        </w:rPr>
        <w:t>Bifulco</w:t>
      </w:r>
      <w:proofErr w:type="spellEnd"/>
      <w:r w:rsidRPr="00E9480B">
        <w:rPr>
          <w:rFonts w:cstheme="minorHAnsi"/>
          <w:color w:val="000000" w:themeColor="text1"/>
          <w:shd w:val="clear" w:color="auto" w:fill="FFFFFF"/>
          <w:lang w:val="en-GB"/>
        </w:rPr>
        <w:t xml:space="preserve">, L., &amp; Vitale, T. (2005), </w:t>
      </w:r>
      <w:r w:rsidRPr="00E9480B">
        <w:rPr>
          <w:rFonts w:cstheme="minorHAnsi"/>
          <w:i/>
          <w:color w:val="000000" w:themeColor="text1"/>
          <w:shd w:val="clear" w:color="auto" w:fill="FFFFFF"/>
          <w:lang w:val="en-GB"/>
        </w:rPr>
        <w:t xml:space="preserve">La </w:t>
      </w:r>
      <w:proofErr w:type="spellStart"/>
      <w:r w:rsidRPr="00E9480B">
        <w:rPr>
          <w:rFonts w:cstheme="minorHAnsi"/>
          <w:i/>
          <w:color w:val="000000" w:themeColor="text1"/>
          <w:shd w:val="clear" w:color="auto" w:fill="FFFFFF"/>
          <w:lang w:val="en-GB"/>
        </w:rPr>
        <w:t>contrattualizzazione</w:t>
      </w:r>
      <w:proofErr w:type="spellEnd"/>
      <w:r w:rsidRPr="00E9480B">
        <w:rPr>
          <w:rFonts w:cstheme="minorHAnsi"/>
          <w:i/>
          <w:color w:val="000000" w:themeColor="text1"/>
          <w:shd w:val="clear" w:color="auto" w:fill="FFFFFF"/>
          <w:lang w:val="en-GB"/>
        </w:rPr>
        <w:t xml:space="preserve"> </w:t>
      </w:r>
      <w:proofErr w:type="spellStart"/>
      <w:r w:rsidRPr="00E9480B">
        <w:rPr>
          <w:rFonts w:cstheme="minorHAnsi"/>
          <w:i/>
          <w:color w:val="000000" w:themeColor="text1"/>
          <w:shd w:val="clear" w:color="auto" w:fill="FFFFFF"/>
          <w:lang w:val="en-GB"/>
        </w:rPr>
        <w:t>delle</w:t>
      </w:r>
      <w:proofErr w:type="spellEnd"/>
      <w:r w:rsidRPr="00E9480B">
        <w:rPr>
          <w:rFonts w:cstheme="minorHAnsi"/>
          <w:i/>
          <w:color w:val="000000" w:themeColor="text1"/>
          <w:shd w:val="clear" w:color="auto" w:fill="FFFFFF"/>
          <w:lang w:val="en-GB"/>
        </w:rPr>
        <w:t xml:space="preserve"> </w:t>
      </w:r>
      <w:proofErr w:type="spellStart"/>
      <w:r w:rsidRPr="00E9480B">
        <w:rPr>
          <w:rFonts w:cstheme="minorHAnsi"/>
          <w:i/>
          <w:color w:val="000000" w:themeColor="text1"/>
          <w:shd w:val="clear" w:color="auto" w:fill="FFFFFF"/>
          <w:lang w:val="en-GB"/>
        </w:rPr>
        <w:t>politiche</w:t>
      </w:r>
      <w:proofErr w:type="spellEnd"/>
      <w:r w:rsidRPr="00E9480B">
        <w:rPr>
          <w:rFonts w:cstheme="minorHAnsi"/>
          <w:i/>
          <w:color w:val="000000" w:themeColor="text1"/>
          <w:shd w:val="clear" w:color="auto" w:fill="FFFFFF"/>
          <w:lang w:val="en-GB"/>
        </w:rPr>
        <w:t xml:space="preserve"> </w:t>
      </w:r>
      <w:proofErr w:type="spellStart"/>
      <w:r w:rsidRPr="00E9480B">
        <w:rPr>
          <w:rFonts w:cstheme="minorHAnsi"/>
          <w:i/>
          <w:color w:val="000000" w:themeColor="text1"/>
          <w:shd w:val="clear" w:color="auto" w:fill="FFFFFF"/>
          <w:lang w:val="en-GB"/>
        </w:rPr>
        <w:t>sociali</w:t>
      </w:r>
      <w:proofErr w:type="spellEnd"/>
      <w:r w:rsidRPr="00E9480B">
        <w:rPr>
          <w:rFonts w:cstheme="minorHAnsi"/>
          <w:i/>
          <w:color w:val="000000" w:themeColor="text1"/>
          <w:shd w:val="clear" w:color="auto" w:fill="FFFFFF"/>
          <w:lang w:val="en-GB"/>
        </w:rPr>
        <w:t xml:space="preserve"> e </w:t>
      </w:r>
      <w:proofErr w:type="spellStart"/>
      <w:r w:rsidRPr="00E9480B">
        <w:rPr>
          <w:rFonts w:cstheme="minorHAnsi"/>
          <w:i/>
          <w:color w:val="000000" w:themeColor="text1"/>
          <w:shd w:val="clear" w:color="auto" w:fill="FFFFFF"/>
          <w:lang w:val="en-GB"/>
        </w:rPr>
        <w:t>il</w:t>
      </w:r>
      <w:proofErr w:type="spellEnd"/>
      <w:r w:rsidRPr="00E9480B">
        <w:rPr>
          <w:rFonts w:cstheme="minorHAnsi"/>
          <w:i/>
          <w:color w:val="000000" w:themeColor="text1"/>
          <w:shd w:val="clear" w:color="auto" w:fill="FFFFFF"/>
          <w:lang w:val="en-GB"/>
        </w:rPr>
        <w:t xml:space="preserve"> welfare locale</w:t>
      </w:r>
      <w:r w:rsidRPr="00E9480B">
        <w:rPr>
          <w:rFonts w:cstheme="minorHAnsi"/>
          <w:color w:val="000000" w:themeColor="text1"/>
          <w:shd w:val="clear" w:color="auto" w:fill="FFFFFF"/>
          <w:lang w:val="en-GB"/>
        </w:rPr>
        <w:t xml:space="preserve">, in </w:t>
      </w:r>
      <w:proofErr w:type="spellStart"/>
      <w:r w:rsidRPr="00E9480B">
        <w:rPr>
          <w:rFonts w:cstheme="minorHAnsi"/>
          <w:color w:val="000000" w:themeColor="text1"/>
          <w:shd w:val="clear" w:color="auto" w:fill="FFFFFF"/>
          <w:lang w:val="en-GB"/>
        </w:rPr>
        <w:t>Bifulco</w:t>
      </w:r>
      <w:proofErr w:type="spellEnd"/>
      <w:r w:rsidRPr="00E9480B">
        <w:rPr>
          <w:rFonts w:cstheme="minorHAnsi"/>
          <w:color w:val="000000" w:themeColor="text1"/>
          <w:shd w:val="clear" w:color="auto" w:fill="FFFFFF"/>
          <w:lang w:val="en-GB"/>
        </w:rPr>
        <w:t xml:space="preserve">, L. (Ed.), </w:t>
      </w:r>
      <w:r w:rsidRPr="00E9480B">
        <w:rPr>
          <w:rFonts w:cstheme="minorHAnsi"/>
          <w:i/>
          <w:color w:val="000000" w:themeColor="text1"/>
          <w:shd w:val="clear" w:color="auto" w:fill="FFFFFF"/>
          <w:lang w:val="en-GB"/>
        </w:rPr>
        <w:t xml:space="preserve">Le </w:t>
      </w:r>
      <w:proofErr w:type="spellStart"/>
      <w:r w:rsidRPr="00E9480B">
        <w:rPr>
          <w:rFonts w:cstheme="minorHAnsi"/>
          <w:i/>
          <w:color w:val="000000" w:themeColor="text1"/>
          <w:shd w:val="clear" w:color="auto" w:fill="FFFFFF"/>
          <w:lang w:val="en-GB"/>
        </w:rPr>
        <w:t>politiche</w:t>
      </w:r>
      <w:proofErr w:type="spellEnd"/>
      <w:r w:rsidRPr="00E9480B">
        <w:rPr>
          <w:rFonts w:cstheme="minorHAnsi"/>
          <w:i/>
          <w:color w:val="000000" w:themeColor="text1"/>
          <w:shd w:val="clear" w:color="auto" w:fill="FFFFFF"/>
          <w:lang w:val="en-GB"/>
        </w:rPr>
        <w:t xml:space="preserve"> </w:t>
      </w:r>
      <w:proofErr w:type="spellStart"/>
      <w:r w:rsidRPr="00E9480B">
        <w:rPr>
          <w:rFonts w:cstheme="minorHAnsi"/>
          <w:i/>
          <w:color w:val="000000" w:themeColor="text1"/>
          <w:shd w:val="clear" w:color="auto" w:fill="FFFFFF"/>
          <w:lang w:val="en-GB"/>
        </w:rPr>
        <w:t>sociali</w:t>
      </w:r>
      <w:proofErr w:type="spellEnd"/>
      <w:r w:rsidRPr="00E9480B">
        <w:rPr>
          <w:rFonts w:cstheme="minorHAnsi"/>
          <w:i/>
          <w:color w:val="000000" w:themeColor="text1"/>
          <w:shd w:val="clear" w:color="auto" w:fill="FFFFFF"/>
          <w:lang w:val="en-GB"/>
        </w:rPr>
        <w:t>.</w:t>
      </w:r>
      <w:r w:rsidRPr="00E9480B">
        <w:rPr>
          <w:rFonts w:cstheme="minorHAnsi"/>
          <w:color w:val="000000" w:themeColor="text1"/>
          <w:shd w:val="clear" w:color="auto" w:fill="FFFFFF"/>
          <w:lang w:val="en-GB"/>
        </w:rPr>
        <w:t> </w:t>
      </w:r>
      <w:proofErr w:type="spellStart"/>
      <w:r w:rsidRPr="00E9480B">
        <w:rPr>
          <w:rFonts w:cstheme="minorHAnsi"/>
          <w:i/>
          <w:iCs/>
          <w:color w:val="000000" w:themeColor="text1"/>
          <w:shd w:val="clear" w:color="auto" w:fill="FFFFFF"/>
          <w:lang w:val="en-GB"/>
        </w:rPr>
        <w:t>Temi</w:t>
      </w:r>
      <w:proofErr w:type="spellEnd"/>
      <w:r w:rsidRPr="00E9480B">
        <w:rPr>
          <w:rFonts w:cstheme="minorHAnsi"/>
          <w:i/>
          <w:iCs/>
          <w:color w:val="000000" w:themeColor="text1"/>
          <w:shd w:val="clear" w:color="auto" w:fill="FFFFFF"/>
          <w:lang w:val="en-GB"/>
        </w:rPr>
        <w:t xml:space="preserve"> e </w:t>
      </w:r>
      <w:proofErr w:type="spellStart"/>
      <w:r w:rsidRPr="00E9480B">
        <w:rPr>
          <w:rFonts w:cstheme="minorHAnsi"/>
          <w:i/>
          <w:iCs/>
          <w:color w:val="000000" w:themeColor="text1"/>
          <w:shd w:val="clear" w:color="auto" w:fill="FFFFFF"/>
          <w:lang w:val="en-GB"/>
        </w:rPr>
        <w:t>prospettive</w:t>
      </w:r>
      <w:proofErr w:type="spellEnd"/>
      <w:r w:rsidRPr="00E9480B">
        <w:rPr>
          <w:rFonts w:cstheme="minorHAnsi"/>
          <w:i/>
          <w:iCs/>
          <w:color w:val="000000" w:themeColor="text1"/>
          <w:shd w:val="clear" w:color="auto" w:fill="FFFFFF"/>
          <w:lang w:val="en-GB"/>
        </w:rPr>
        <w:t xml:space="preserve"> </w:t>
      </w:r>
      <w:proofErr w:type="spellStart"/>
      <w:r w:rsidRPr="00E9480B">
        <w:rPr>
          <w:rFonts w:cstheme="minorHAnsi"/>
          <w:i/>
          <w:iCs/>
          <w:color w:val="000000" w:themeColor="text1"/>
          <w:shd w:val="clear" w:color="auto" w:fill="FFFFFF"/>
          <w:lang w:val="en-GB"/>
        </w:rPr>
        <w:t>emergenti</w:t>
      </w:r>
      <w:proofErr w:type="spellEnd"/>
      <w:r w:rsidRPr="00E9480B">
        <w:rPr>
          <w:rFonts w:cstheme="minorHAnsi"/>
          <w:i/>
          <w:iCs/>
          <w:color w:val="000000" w:themeColor="text1"/>
          <w:shd w:val="clear" w:color="auto" w:fill="FFFFFF"/>
          <w:lang w:val="en-GB"/>
        </w:rPr>
        <w:t xml:space="preserve">, </w:t>
      </w:r>
      <w:proofErr w:type="spellStart"/>
      <w:r w:rsidRPr="00E9480B">
        <w:rPr>
          <w:rFonts w:cstheme="minorHAnsi"/>
          <w:iCs/>
          <w:color w:val="000000" w:themeColor="text1"/>
          <w:shd w:val="clear" w:color="auto" w:fill="FFFFFF"/>
          <w:lang w:val="en-GB"/>
        </w:rPr>
        <w:t>Carocci</w:t>
      </w:r>
      <w:proofErr w:type="spellEnd"/>
      <w:r w:rsidRPr="00E9480B">
        <w:rPr>
          <w:rFonts w:cstheme="minorHAnsi"/>
          <w:i/>
          <w:iCs/>
          <w:color w:val="000000" w:themeColor="text1"/>
          <w:shd w:val="clear" w:color="auto" w:fill="FFFFFF"/>
          <w:lang w:val="en-GB"/>
        </w:rPr>
        <w:t xml:space="preserve">, </w:t>
      </w:r>
      <w:r w:rsidRPr="00E9480B">
        <w:rPr>
          <w:rFonts w:cstheme="minorHAnsi"/>
          <w:iCs/>
          <w:color w:val="000000" w:themeColor="text1"/>
          <w:shd w:val="clear" w:color="auto" w:fill="FFFFFF"/>
          <w:lang w:val="en-GB"/>
        </w:rPr>
        <w:t>Roma</w:t>
      </w:r>
      <w:r w:rsidRPr="00E9480B">
        <w:rPr>
          <w:rFonts w:cstheme="minorHAnsi"/>
          <w:color w:val="000000" w:themeColor="text1"/>
          <w:shd w:val="clear" w:color="auto" w:fill="FFFFFF"/>
          <w:lang w:val="en-GB"/>
        </w:rPr>
        <w:t>.</w:t>
      </w:r>
    </w:p>
    <w:p w14:paraId="2975E361" w14:textId="77777777" w:rsidR="00314DA8" w:rsidRPr="00E9480B" w:rsidRDefault="00314DA8" w:rsidP="00314DA8">
      <w:pPr>
        <w:spacing w:after="120" w:line="240" w:lineRule="atLeast"/>
        <w:jc w:val="both"/>
        <w:rPr>
          <w:rFonts w:cstheme="minorHAnsi"/>
          <w:color w:val="000000" w:themeColor="text1"/>
          <w:lang w:val="en-GB"/>
        </w:rPr>
      </w:pPr>
      <w:proofErr w:type="spellStart"/>
      <w:r w:rsidRPr="00E9480B">
        <w:rPr>
          <w:rFonts w:cstheme="minorHAnsi"/>
          <w:color w:val="000000" w:themeColor="text1"/>
          <w:lang w:val="en-GB"/>
        </w:rPr>
        <w:t>Bifulco</w:t>
      </w:r>
      <w:proofErr w:type="spellEnd"/>
      <w:r w:rsidRPr="00E9480B">
        <w:rPr>
          <w:rFonts w:cstheme="minorHAnsi"/>
          <w:color w:val="000000" w:themeColor="text1"/>
          <w:lang w:val="en-GB"/>
        </w:rPr>
        <w:t xml:space="preserve">, L. and Vitale, T. (2006) </w:t>
      </w:r>
      <w:r w:rsidRPr="00E9480B">
        <w:rPr>
          <w:rFonts w:cstheme="minorHAnsi"/>
          <w:i/>
          <w:iCs/>
          <w:color w:val="000000" w:themeColor="text1"/>
          <w:lang w:val="en-GB"/>
        </w:rPr>
        <w:t xml:space="preserve">“Contracting for Welfare Services in Italy”, </w:t>
      </w:r>
      <w:r w:rsidRPr="00E9480B">
        <w:rPr>
          <w:rFonts w:cstheme="minorHAnsi"/>
          <w:color w:val="000000" w:themeColor="text1"/>
          <w:lang w:val="en-GB"/>
        </w:rPr>
        <w:t>Journal of European Social Policy, SAGE Publications (UK and US), 35 (03), pp.495-513.</w:t>
      </w:r>
    </w:p>
    <w:p w14:paraId="2AA0D296" w14:textId="77777777" w:rsidR="00314DA8" w:rsidRPr="00E9480B" w:rsidRDefault="00314DA8" w:rsidP="00314DA8">
      <w:pPr>
        <w:spacing w:after="120" w:line="240" w:lineRule="atLeast"/>
        <w:jc w:val="both"/>
        <w:rPr>
          <w:rFonts w:cstheme="minorHAnsi"/>
          <w:color w:val="000000" w:themeColor="text1"/>
          <w:lang w:val="en-GB"/>
        </w:rPr>
      </w:pPr>
      <w:proofErr w:type="spellStart"/>
      <w:r w:rsidRPr="00E9480B">
        <w:rPr>
          <w:rFonts w:cstheme="minorHAnsi"/>
          <w:color w:val="000000" w:themeColor="text1"/>
          <w:lang w:val="en-GB"/>
        </w:rPr>
        <w:t>Burchardt</w:t>
      </w:r>
      <w:proofErr w:type="spellEnd"/>
      <w:r w:rsidRPr="00E9480B">
        <w:rPr>
          <w:rFonts w:cstheme="minorHAnsi"/>
          <w:color w:val="000000" w:themeColor="text1"/>
          <w:lang w:val="en-GB"/>
        </w:rPr>
        <w:t>, T., Evans M. and Holler, H. (2015) “</w:t>
      </w:r>
      <w:r w:rsidRPr="00E9480B">
        <w:rPr>
          <w:rFonts w:cstheme="minorHAnsi"/>
          <w:i/>
          <w:iCs/>
          <w:color w:val="000000" w:themeColor="text1"/>
          <w:lang w:val="en-GB"/>
        </w:rPr>
        <w:t>Public policy and Inequalities of Choice and Autonomy”,</w:t>
      </w:r>
      <w:r w:rsidRPr="00E9480B">
        <w:rPr>
          <w:rFonts w:cstheme="minorHAnsi"/>
          <w:color w:val="000000" w:themeColor="text1"/>
          <w:lang w:val="en-GB"/>
        </w:rPr>
        <w:t xml:space="preserve"> Social Policy and Administration, 49 (1), pp. 44-67. </w:t>
      </w:r>
    </w:p>
    <w:p w14:paraId="76BB8FDE" w14:textId="77777777" w:rsidR="00314DA8" w:rsidRPr="00E9480B" w:rsidRDefault="00314DA8" w:rsidP="00314DA8">
      <w:pPr>
        <w:spacing w:after="120" w:line="240" w:lineRule="atLeast"/>
        <w:jc w:val="both"/>
        <w:rPr>
          <w:rFonts w:cstheme="minorHAnsi"/>
          <w:color w:val="000000" w:themeColor="text1"/>
          <w:lang w:val="en-GB"/>
        </w:rPr>
      </w:pPr>
      <w:proofErr w:type="spellStart"/>
      <w:r w:rsidRPr="00E9480B">
        <w:rPr>
          <w:rFonts w:cstheme="minorHAnsi"/>
          <w:color w:val="000000" w:themeColor="text1"/>
          <w:lang w:val="en-GB"/>
        </w:rPr>
        <w:t>Carabelli</w:t>
      </w:r>
      <w:proofErr w:type="spellEnd"/>
      <w:r w:rsidRPr="00E9480B">
        <w:rPr>
          <w:rFonts w:cstheme="minorHAnsi"/>
          <w:color w:val="000000" w:themeColor="text1"/>
          <w:lang w:val="en-GB"/>
        </w:rPr>
        <w:t xml:space="preserve">, G. and </w:t>
      </w:r>
      <w:proofErr w:type="spellStart"/>
      <w:r w:rsidRPr="00E9480B">
        <w:rPr>
          <w:rFonts w:cstheme="minorHAnsi"/>
          <w:color w:val="000000" w:themeColor="text1"/>
          <w:lang w:val="en-GB"/>
        </w:rPr>
        <w:t>Facchini</w:t>
      </w:r>
      <w:proofErr w:type="spellEnd"/>
      <w:r w:rsidRPr="00E9480B">
        <w:rPr>
          <w:rFonts w:cstheme="minorHAnsi"/>
          <w:color w:val="000000" w:themeColor="text1"/>
          <w:lang w:val="en-GB"/>
        </w:rPr>
        <w:t xml:space="preserve">, C. (2013) </w:t>
      </w:r>
      <w:r w:rsidRPr="00E9480B">
        <w:rPr>
          <w:rFonts w:cstheme="minorHAnsi"/>
          <w:i/>
          <w:iCs/>
          <w:color w:val="000000" w:themeColor="text1"/>
          <w:lang w:val="en-GB"/>
        </w:rPr>
        <w:t xml:space="preserve">Il </w:t>
      </w:r>
      <w:proofErr w:type="spellStart"/>
      <w:r w:rsidRPr="00E9480B">
        <w:rPr>
          <w:rFonts w:cstheme="minorHAnsi"/>
          <w:i/>
          <w:iCs/>
          <w:color w:val="000000" w:themeColor="text1"/>
          <w:lang w:val="en-GB"/>
        </w:rPr>
        <w:t>Modello</w:t>
      </w:r>
      <w:proofErr w:type="spellEnd"/>
      <w:r w:rsidRPr="00E9480B">
        <w:rPr>
          <w:rFonts w:cstheme="minorHAnsi"/>
          <w:i/>
          <w:iCs/>
          <w:color w:val="000000" w:themeColor="text1"/>
          <w:lang w:val="en-GB"/>
        </w:rPr>
        <w:t xml:space="preserve"> Lombardo di Welfare. </w:t>
      </w:r>
      <w:proofErr w:type="spellStart"/>
      <w:r w:rsidRPr="00E9480B">
        <w:rPr>
          <w:rFonts w:cstheme="minorHAnsi"/>
          <w:i/>
          <w:iCs/>
          <w:color w:val="000000" w:themeColor="text1"/>
          <w:lang w:val="en-GB"/>
        </w:rPr>
        <w:t>Continuità</w:t>
      </w:r>
      <w:proofErr w:type="spellEnd"/>
      <w:r w:rsidRPr="00E9480B">
        <w:rPr>
          <w:rFonts w:cstheme="minorHAnsi"/>
          <w:i/>
          <w:iCs/>
          <w:color w:val="000000" w:themeColor="text1"/>
          <w:lang w:val="en-GB"/>
        </w:rPr>
        <w:t xml:space="preserve">, </w:t>
      </w:r>
      <w:proofErr w:type="spellStart"/>
      <w:r w:rsidRPr="00E9480B">
        <w:rPr>
          <w:rFonts w:cstheme="minorHAnsi"/>
          <w:i/>
          <w:iCs/>
          <w:color w:val="000000" w:themeColor="text1"/>
          <w:lang w:val="en-GB"/>
        </w:rPr>
        <w:t>riassestamenti</w:t>
      </w:r>
      <w:proofErr w:type="spellEnd"/>
      <w:r w:rsidRPr="00E9480B">
        <w:rPr>
          <w:rFonts w:cstheme="minorHAnsi"/>
          <w:i/>
          <w:iCs/>
          <w:color w:val="000000" w:themeColor="text1"/>
          <w:lang w:val="en-GB"/>
        </w:rPr>
        <w:t xml:space="preserve">, </w:t>
      </w:r>
      <w:proofErr w:type="spellStart"/>
      <w:r w:rsidRPr="00E9480B">
        <w:rPr>
          <w:rFonts w:cstheme="minorHAnsi"/>
          <w:i/>
          <w:iCs/>
          <w:color w:val="000000" w:themeColor="text1"/>
          <w:lang w:val="en-GB"/>
        </w:rPr>
        <w:t>prospettive</w:t>
      </w:r>
      <w:proofErr w:type="spellEnd"/>
      <w:r w:rsidRPr="00E9480B">
        <w:rPr>
          <w:rFonts w:cstheme="minorHAnsi"/>
          <w:color w:val="000000" w:themeColor="text1"/>
          <w:lang w:val="en-GB"/>
        </w:rPr>
        <w:t xml:space="preserve">, Milano, Franco </w:t>
      </w:r>
      <w:proofErr w:type="spellStart"/>
      <w:r w:rsidRPr="00E9480B">
        <w:rPr>
          <w:rFonts w:cstheme="minorHAnsi"/>
          <w:color w:val="000000" w:themeColor="text1"/>
          <w:lang w:val="en-GB"/>
        </w:rPr>
        <w:t>Angeli</w:t>
      </w:r>
      <w:proofErr w:type="spellEnd"/>
      <w:r w:rsidRPr="00E9480B">
        <w:rPr>
          <w:rFonts w:cstheme="minorHAnsi"/>
          <w:color w:val="000000" w:themeColor="text1"/>
          <w:lang w:val="en-GB"/>
        </w:rPr>
        <w:t xml:space="preserve">. </w:t>
      </w:r>
    </w:p>
    <w:p w14:paraId="148B2D83" w14:textId="77777777" w:rsidR="00314DA8" w:rsidRPr="00E9480B" w:rsidRDefault="00314DA8" w:rsidP="00314DA8">
      <w:pPr>
        <w:spacing w:after="120" w:line="240" w:lineRule="atLeast"/>
        <w:jc w:val="both"/>
        <w:rPr>
          <w:rFonts w:cstheme="minorHAnsi"/>
          <w:color w:val="000000" w:themeColor="text1"/>
          <w:lang w:val="en-GB"/>
        </w:rPr>
      </w:pPr>
      <w:r w:rsidRPr="00E9480B">
        <w:rPr>
          <w:rFonts w:cstheme="minorHAnsi"/>
          <w:color w:val="000000" w:themeColor="text1"/>
          <w:lang w:val="en-GB"/>
        </w:rPr>
        <w:t xml:space="preserve">Clarke, J. (2012) “Managing and Delivering Welfare” in </w:t>
      </w:r>
      <w:proofErr w:type="spellStart"/>
      <w:r w:rsidRPr="00E9480B">
        <w:rPr>
          <w:rFonts w:cstheme="minorHAnsi"/>
          <w:color w:val="000000" w:themeColor="text1"/>
          <w:lang w:val="en-GB"/>
        </w:rPr>
        <w:t>Alcock</w:t>
      </w:r>
      <w:proofErr w:type="spellEnd"/>
      <w:r w:rsidRPr="00E9480B">
        <w:rPr>
          <w:rFonts w:cstheme="minorHAnsi"/>
          <w:color w:val="000000" w:themeColor="text1"/>
          <w:lang w:val="en-GB"/>
        </w:rPr>
        <w:t xml:space="preserve"> P., May, M. and Wright, S. eds. </w:t>
      </w:r>
      <w:r w:rsidRPr="00E9480B">
        <w:rPr>
          <w:rFonts w:cstheme="minorHAnsi"/>
          <w:i/>
          <w:color w:val="000000" w:themeColor="text1"/>
          <w:lang w:val="en-GB"/>
        </w:rPr>
        <w:t>The Student's Companion to Social Policy</w:t>
      </w:r>
      <w:r w:rsidRPr="00E9480B">
        <w:rPr>
          <w:rFonts w:cstheme="minorHAnsi"/>
          <w:color w:val="000000" w:themeColor="text1"/>
          <w:lang w:val="en-GB"/>
        </w:rPr>
        <w:t>, Oxford, Blackwell.</w:t>
      </w:r>
    </w:p>
    <w:p w14:paraId="3A5DC9CA" w14:textId="77777777" w:rsidR="00314DA8" w:rsidRPr="00E9480B" w:rsidRDefault="00314DA8" w:rsidP="00314DA8">
      <w:pPr>
        <w:spacing w:after="120" w:line="240" w:lineRule="atLeast"/>
        <w:rPr>
          <w:rFonts w:cstheme="minorHAnsi"/>
          <w:color w:val="000000" w:themeColor="text1"/>
          <w:lang w:val="en-GB"/>
        </w:rPr>
      </w:pPr>
      <w:r w:rsidRPr="00E9480B">
        <w:rPr>
          <w:rFonts w:cstheme="minorHAnsi"/>
          <w:color w:val="000000" w:themeColor="text1"/>
          <w:shd w:val="clear" w:color="auto" w:fill="FFFFFF"/>
          <w:lang w:val="en-GB"/>
        </w:rPr>
        <w:t>Department of Health (</w:t>
      </w:r>
      <w:r w:rsidRPr="00E9480B">
        <w:rPr>
          <w:rFonts w:cstheme="minorHAnsi"/>
          <w:color w:val="000000" w:themeColor="text1"/>
          <w:lang w:val="en-GB"/>
        </w:rPr>
        <w:t xml:space="preserve">DH) (2001). </w:t>
      </w:r>
      <w:r w:rsidRPr="00E9480B">
        <w:rPr>
          <w:rFonts w:cstheme="minorHAnsi"/>
          <w:i/>
          <w:iCs/>
          <w:color w:val="000000" w:themeColor="text1"/>
          <w:lang w:val="en-GB"/>
        </w:rPr>
        <w:t>Valuing people: a new strategy for learning disability for the 21st Century</w:t>
      </w:r>
      <w:r w:rsidRPr="00E9480B">
        <w:rPr>
          <w:rFonts w:cstheme="minorHAnsi"/>
          <w:color w:val="000000" w:themeColor="text1"/>
          <w:lang w:val="en-GB"/>
        </w:rPr>
        <w:t>. London: DH.</w:t>
      </w:r>
    </w:p>
    <w:p w14:paraId="3B1323FF" w14:textId="77777777" w:rsidR="00314DA8" w:rsidRPr="00E9480B" w:rsidRDefault="00314DA8" w:rsidP="00314DA8">
      <w:pPr>
        <w:spacing w:after="120" w:line="240" w:lineRule="atLeast"/>
        <w:rPr>
          <w:rFonts w:cstheme="minorHAnsi"/>
          <w:color w:val="000000" w:themeColor="text1"/>
          <w:lang w:val="en-GB"/>
        </w:rPr>
      </w:pPr>
      <w:r w:rsidRPr="00E9480B">
        <w:rPr>
          <w:rFonts w:cstheme="minorHAnsi"/>
          <w:color w:val="000000" w:themeColor="text1"/>
          <w:shd w:val="clear" w:color="auto" w:fill="FFFFFF"/>
          <w:lang w:val="en-GB"/>
        </w:rPr>
        <w:lastRenderedPageBreak/>
        <w:t>Department of Health (</w:t>
      </w:r>
      <w:r w:rsidRPr="00E9480B">
        <w:rPr>
          <w:rFonts w:cstheme="minorHAnsi"/>
          <w:color w:val="000000" w:themeColor="text1"/>
          <w:lang w:val="en-GB"/>
        </w:rPr>
        <w:t xml:space="preserve">DH) (2014). </w:t>
      </w:r>
      <w:r w:rsidRPr="00E9480B">
        <w:rPr>
          <w:rFonts w:cstheme="minorHAnsi"/>
          <w:i/>
          <w:color w:val="000000" w:themeColor="text1"/>
          <w:lang w:val="en-GB"/>
        </w:rPr>
        <w:t>Care and support statutory guidance, issue under the Care Act 2014</w:t>
      </w:r>
      <w:r w:rsidRPr="00E9480B">
        <w:rPr>
          <w:rFonts w:cstheme="minorHAnsi"/>
          <w:color w:val="000000" w:themeColor="text1"/>
          <w:lang w:val="en-GB"/>
        </w:rPr>
        <w:t xml:space="preserve">. London: 2014. </w:t>
      </w:r>
    </w:p>
    <w:p w14:paraId="6858D0C4" w14:textId="77777777" w:rsidR="00314DA8" w:rsidRPr="00E9480B" w:rsidRDefault="00314DA8" w:rsidP="00314DA8">
      <w:pPr>
        <w:spacing w:after="120" w:line="240" w:lineRule="atLeast"/>
        <w:rPr>
          <w:rFonts w:cstheme="minorHAnsi"/>
          <w:color w:val="000000" w:themeColor="text1"/>
          <w:lang w:val="en-GB"/>
        </w:rPr>
      </w:pPr>
      <w:proofErr w:type="spellStart"/>
      <w:r w:rsidRPr="00E9480B">
        <w:rPr>
          <w:rFonts w:ascii="Arial" w:hAnsi="Arial" w:cs="Arial"/>
          <w:color w:val="222222"/>
          <w:sz w:val="20"/>
          <w:szCs w:val="20"/>
          <w:shd w:val="clear" w:color="auto" w:fill="FFFFFF"/>
        </w:rPr>
        <w:t>Duffy</w:t>
      </w:r>
      <w:proofErr w:type="spellEnd"/>
      <w:r w:rsidRPr="00E9480B">
        <w:rPr>
          <w:rFonts w:ascii="Arial" w:hAnsi="Arial" w:cs="Arial"/>
          <w:color w:val="222222"/>
          <w:sz w:val="20"/>
          <w:szCs w:val="20"/>
          <w:shd w:val="clear" w:color="auto" w:fill="FFFFFF"/>
        </w:rPr>
        <w:t xml:space="preserve">, Simon, and Kate </w:t>
      </w:r>
      <w:proofErr w:type="spellStart"/>
      <w:r w:rsidRPr="00E9480B">
        <w:rPr>
          <w:rFonts w:ascii="Arial" w:hAnsi="Arial" w:cs="Arial"/>
          <w:color w:val="222222"/>
          <w:sz w:val="20"/>
          <w:szCs w:val="20"/>
          <w:shd w:val="clear" w:color="auto" w:fill="FFFFFF"/>
        </w:rPr>
        <w:t>Fulton</w:t>
      </w:r>
      <w:proofErr w:type="spellEnd"/>
      <w:r w:rsidRPr="00E9480B">
        <w:rPr>
          <w:rFonts w:ascii="Arial" w:hAnsi="Arial" w:cs="Arial"/>
          <w:color w:val="222222"/>
          <w:sz w:val="20"/>
          <w:szCs w:val="20"/>
          <w:shd w:val="clear" w:color="auto" w:fill="FFFFFF"/>
        </w:rPr>
        <w:t>. "</w:t>
      </w:r>
      <w:proofErr w:type="spellStart"/>
      <w:r w:rsidRPr="00E9480B">
        <w:rPr>
          <w:rFonts w:ascii="Arial" w:hAnsi="Arial" w:cs="Arial"/>
          <w:color w:val="222222"/>
          <w:sz w:val="20"/>
          <w:szCs w:val="20"/>
          <w:shd w:val="clear" w:color="auto" w:fill="FFFFFF"/>
        </w:rPr>
        <w:t>Should</w:t>
      </w:r>
      <w:proofErr w:type="spellEnd"/>
      <w:r w:rsidRPr="00E9480B">
        <w:rPr>
          <w:rFonts w:ascii="Arial" w:hAnsi="Arial" w:cs="Arial"/>
          <w:color w:val="222222"/>
          <w:sz w:val="20"/>
          <w:szCs w:val="20"/>
          <w:shd w:val="clear" w:color="auto" w:fill="FFFFFF"/>
        </w:rPr>
        <w:t xml:space="preserve"> </w:t>
      </w:r>
      <w:proofErr w:type="spellStart"/>
      <w:r w:rsidRPr="00E9480B">
        <w:rPr>
          <w:rFonts w:ascii="Arial" w:hAnsi="Arial" w:cs="Arial"/>
          <w:color w:val="222222"/>
          <w:sz w:val="20"/>
          <w:szCs w:val="20"/>
          <w:shd w:val="clear" w:color="auto" w:fill="FFFFFF"/>
        </w:rPr>
        <w:t>we</w:t>
      </w:r>
      <w:proofErr w:type="spellEnd"/>
      <w:r w:rsidRPr="00E9480B">
        <w:rPr>
          <w:rFonts w:ascii="Arial" w:hAnsi="Arial" w:cs="Arial"/>
          <w:color w:val="222222"/>
          <w:sz w:val="20"/>
          <w:szCs w:val="20"/>
          <w:shd w:val="clear" w:color="auto" w:fill="FFFFFF"/>
        </w:rPr>
        <w:t xml:space="preserve"> </w:t>
      </w:r>
      <w:proofErr w:type="spellStart"/>
      <w:r w:rsidRPr="00E9480B">
        <w:rPr>
          <w:rFonts w:ascii="Arial" w:hAnsi="Arial" w:cs="Arial"/>
          <w:color w:val="222222"/>
          <w:sz w:val="20"/>
          <w:szCs w:val="20"/>
          <w:shd w:val="clear" w:color="auto" w:fill="FFFFFF"/>
        </w:rPr>
        <w:t>ban</w:t>
      </w:r>
      <w:proofErr w:type="spellEnd"/>
      <w:r w:rsidRPr="00E9480B">
        <w:rPr>
          <w:rFonts w:ascii="Arial" w:hAnsi="Arial" w:cs="Arial"/>
          <w:color w:val="222222"/>
          <w:sz w:val="20"/>
          <w:szCs w:val="20"/>
          <w:shd w:val="clear" w:color="auto" w:fill="FFFFFF"/>
        </w:rPr>
        <w:t xml:space="preserve"> brokerage." </w:t>
      </w:r>
      <w:r w:rsidRPr="00E9480B">
        <w:rPr>
          <w:rFonts w:ascii="Arial" w:hAnsi="Arial" w:cs="Arial"/>
          <w:i/>
          <w:iCs/>
          <w:color w:val="222222"/>
          <w:sz w:val="20"/>
          <w:szCs w:val="20"/>
          <w:shd w:val="clear" w:color="auto" w:fill="FFFFFF"/>
        </w:rPr>
        <w:t xml:space="preserve">Sheffield, The Centre for Welfare </w:t>
      </w:r>
      <w:proofErr w:type="spellStart"/>
      <w:r w:rsidRPr="00E9480B">
        <w:rPr>
          <w:rFonts w:ascii="Arial" w:hAnsi="Arial" w:cs="Arial"/>
          <w:i/>
          <w:iCs/>
          <w:color w:val="222222"/>
          <w:sz w:val="20"/>
          <w:szCs w:val="20"/>
          <w:shd w:val="clear" w:color="auto" w:fill="FFFFFF"/>
        </w:rPr>
        <w:t>Reform</w:t>
      </w:r>
      <w:proofErr w:type="spellEnd"/>
      <w:r w:rsidRPr="00E9480B">
        <w:rPr>
          <w:rFonts w:ascii="Arial" w:hAnsi="Arial" w:cs="Arial"/>
          <w:color w:val="222222"/>
          <w:sz w:val="20"/>
          <w:szCs w:val="20"/>
          <w:shd w:val="clear" w:color="auto" w:fill="FFFFFF"/>
        </w:rPr>
        <w:t> (2009).</w:t>
      </w:r>
    </w:p>
    <w:p w14:paraId="324DD4F5" w14:textId="77777777" w:rsidR="00314DA8" w:rsidRPr="00E9480B" w:rsidRDefault="00314DA8" w:rsidP="00314DA8">
      <w:pPr>
        <w:spacing w:after="120" w:line="240" w:lineRule="atLeast"/>
        <w:rPr>
          <w:rFonts w:cstheme="minorHAnsi"/>
          <w:color w:val="000000" w:themeColor="text1"/>
          <w:lang w:val="en-GB"/>
        </w:rPr>
      </w:pPr>
      <w:r w:rsidRPr="00E9480B">
        <w:rPr>
          <w:rFonts w:cstheme="minorHAnsi"/>
          <w:color w:val="000000" w:themeColor="text1"/>
          <w:lang w:val="en-GB"/>
        </w:rPr>
        <w:t xml:space="preserve">Duffy, S. (2012). </w:t>
      </w:r>
      <w:r w:rsidRPr="00E9480B">
        <w:rPr>
          <w:rFonts w:cstheme="minorHAnsi"/>
          <w:i/>
          <w:color w:val="000000" w:themeColor="text1"/>
          <w:lang w:val="en-GB"/>
        </w:rPr>
        <w:t xml:space="preserve">Is personalisation </w:t>
      </w:r>
      <w:proofErr w:type="gramStart"/>
      <w:r w:rsidRPr="00E9480B">
        <w:rPr>
          <w:rFonts w:cstheme="minorHAnsi"/>
          <w:i/>
          <w:color w:val="000000" w:themeColor="text1"/>
          <w:lang w:val="en-GB"/>
        </w:rPr>
        <w:t>dead?</w:t>
      </w:r>
      <w:r w:rsidRPr="00E9480B">
        <w:rPr>
          <w:rFonts w:cstheme="minorHAnsi"/>
          <w:color w:val="000000" w:themeColor="text1"/>
          <w:lang w:val="en-GB"/>
        </w:rPr>
        <w:t>.</w:t>
      </w:r>
      <w:proofErr w:type="gramEnd"/>
      <w:r w:rsidRPr="00E9480B">
        <w:rPr>
          <w:rFonts w:cstheme="minorHAnsi"/>
          <w:color w:val="000000" w:themeColor="text1"/>
          <w:lang w:val="en-GB"/>
        </w:rPr>
        <w:t xml:space="preserve"> Retrieved from </w:t>
      </w:r>
      <w:hyperlink r:id="rId8" w:history="1">
        <w:r w:rsidRPr="00E9480B">
          <w:rPr>
            <w:rStyle w:val="Collegamentoipertestuale"/>
            <w:rFonts w:cstheme="minorHAnsi"/>
            <w:color w:val="000000" w:themeColor="text1"/>
            <w:lang w:val="en-GB"/>
          </w:rPr>
          <w:t>http://www.centreforwelfarereform.org/library/by-az/is-personalisation-dead.html</w:t>
        </w:r>
      </w:hyperlink>
      <w:r w:rsidRPr="00E9480B">
        <w:rPr>
          <w:rFonts w:cstheme="minorHAnsi"/>
          <w:color w:val="000000" w:themeColor="text1"/>
          <w:lang w:val="en-GB"/>
        </w:rPr>
        <w:t>.</w:t>
      </w:r>
    </w:p>
    <w:p w14:paraId="6EEF881A" w14:textId="77777777" w:rsidR="00314DA8" w:rsidRPr="00E9480B" w:rsidRDefault="00314DA8" w:rsidP="00314DA8">
      <w:pPr>
        <w:spacing w:after="120" w:line="240" w:lineRule="atLeast"/>
        <w:rPr>
          <w:rFonts w:cstheme="minorHAnsi"/>
          <w:color w:val="000000" w:themeColor="text1"/>
          <w:lang w:val="en-GB"/>
        </w:rPr>
      </w:pPr>
      <w:r w:rsidRPr="000B2E3E">
        <w:rPr>
          <w:rFonts w:cstheme="minorHAnsi"/>
          <w:color w:val="000000" w:themeColor="text1"/>
          <w:lang w:val="en-GB"/>
        </w:rPr>
        <w:t>Eggers, W. D. (2008). The changing nature of government: network governance. </w:t>
      </w:r>
      <w:r w:rsidRPr="000B2E3E">
        <w:rPr>
          <w:rFonts w:cstheme="minorHAnsi"/>
          <w:i/>
          <w:iCs/>
          <w:color w:val="000000" w:themeColor="text1"/>
          <w:lang w:val="en-GB"/>
        </w:rPr>
        <w:t>Collaborative Governance</w:t>
      </w:r>
      <w:r w:rsidRPr="000B2E3E">
        <w:rPr>
          <w:rFonts w:cstheme="minorHAnsi"/>
          <w:color w:val="000000" w:themeColor="text1"/>
          <w:lang w:val="en-GB"/>
        </w:rPr>
        <w:t>, 23.</w:t>
      </w:r>
    </w:p>
    <w:p w14:paraId="76454A1F" w14:textId="77777777" w:rsidR="00314DA8" w:rsidRPr="00E9480B" w:rsidRDefault="00314DA8" w:rsidP="00314DA8">
      <w:pPr>
        <w:spacing w:after="120" w:line="240" w:lineRule="atLeast"/>
        <w:rPr>
          <w:rFonts w:cstheme="minorHAnsi"/>
          <w:color w:val="000000" w:themeColor="text1"/>
          <w:lang w:val="en-GB"/>
        </w:rPr>
      </w:pPr>
      <w:proofErr w:type="spellStart"/>
      <w:r w:rsidRPr="000B2E3E">
        <w:rPr>
          <w:rFonts w:cstheme="minorHAnsi"/>
          <w:color w:val="000000" w:themeColor="text1"/>
        </w:rPr>
        <w:t>Gal</w:t>
      </w:r>
      <w:proofErr w:type="spellEnd"/>
      <w:r w:rsidRPr="000B2E3E">
        <w:rPr>
          <w:rFonts w:cstheme="minorHAnsi"/>
          <w:color w:val="000000" w:themeColor="text1"/>
        </w:rPr>
        <w:t>, J., &amp; Weiss-</w:t>
      </w:r>
      <w:proofErr w:type="spellStart"/>
      <w:r w:rsidRPr="000B2E3E">
        <w:rPr>
          <w:rFonts w:cstheme="minorHAnsi"/>
          <w:color w:val="000000" w:themeColor="text1"/>
        </w:rPr>
        <w:t>Gal</w:t>
      </w:r>
      <w:proofErr w:type="spellEnd"/>
      <w:r w:rsidRPr="000B2E3E">
        <w:rPr>
          <w:rFonts w:cstheme="minorHAnsi"/>
          <w:color w:val="000000" w:themeColor="text1"/>
        </w:rPr>
        <w:t>, I. (</w:t>
      </w:r>
      <w:proofErr w:type="spellStart"/>
      <w:r w:rsidRPr="000B2E3E">
        <w:rPr>
          <w:rFonts w:cstheme="minorHAnsi"/>
          <w:color w:val="000000" w:themeColor="text1"/>
        </w:rPr>
        <w:t>Eds</w:t>
      </w:r>
      <w:proofErr w:type="spellEnd"/>
      <w:r w:rsidRPr="000B2E3E">
        <w:rPr>
          <w:rFonts w:cstheme="minorHAnsi"/>
          <w:color w:val="000000" w:themeColor="text1"/>
        </w:rPr>
        <w:t>.). (2014). </w:t>
      </w:r>
      <w:r w:rsidRPr="000B2E3E">
        <w:rPr>
          <w:rFonts w:cstheme="minorHAnsi"/>
          <w:i/>
          <w:iCs/>
          <w:color w:val="000000" w:themeColor="text1"/>
        </w:rPr>
        <w:t xml:space="preserve">Social workers </w:t>
      </w:r>
      <w:proofErr w:type="spellStart"/>
      <w:r w:rsidRPr="000B2E3E">
        <w:rPr>
          <w:rFonts w:cstheme="minorHAnsi"/>
          <w:i/>
          <w:iCs/>
          <w:color w:val="000000" w:themeColor="text1"/>
        </w:rPr>
        <w:t>affecting</w:t>
      </w:r>
      <w:proofErr w:type="spellEnd"/>
      <w:r w:rsidRPr="000B2E3E">
        <w:rPr>
          <w:rFonts w:cstheme="minorHAnsi"/>
          <w:i/>
          <w:iCs/>
          <w:color w:val="000000" w:themeColor="text1"/>
        </w:rPr>
        <w:t xml:space="preserve"> social policy: An international </w:t>
      </w:r>
      <w:proofErr w:type="spellStart"/>
      <w:r w:rsidRPr="000B2E3E">
        <w:rPr>
          <w:rFonts w:cstheme="minorHAnsi"/>
          <w:i/>
          <w:iCs/>
          <w:color w:val="000000" w:themeColor="text1"/>
        </w:rPr>
        <w:t>perspective</w:t>
      </w:r>
      <w:proofErr w:type="spellEnd"/>
      <w:r w:rsidRPr="000B2E3E">
        <w:rPr>
          <w:rFonts w:cstheme="minorHAnsi"/>
          <w:i/>
          <w:iCs/>
          <w:color w:val="000000" w:themeColor="text1"/>
        </w:rPr>
        <w:t xml:space="preserve"> on policy </w:t>
      </w:r>
      <w:proofErr w:type="spellStart"/>
      <w:r w:rsidRPr="000B2E3E">
        <w:rPr>
          <w:rFonts w:cstheme="minorHAnsi"/>
          <w:i/>
          <w:iCs/>
          <w:color w:val="000000" w:themeColor="text1"/>
        </w:rPr>
        <w:t>practice</w:t>
      </w:r>
      <w:proofErr w:type="spellEnd"/>
      <w:r w:rsidRPr="000B2E3E">
        <w:rPr>
          <w:rFonts w:cstheme="minorHAnsi"/>
          <w:color w:val="000000" w:themeColor="text1"/>
        </w:rPr>
        <w:t>, Bristol, Policy Press.</w:t>
      </w:r>
    </w:p>
    <w:p w14:paraId="5B39910E" w14:textId="77777777" w:rsidR="00314DA8" w:rsidRPr="00E9480B" w:rsidRDefault="00314DA8" w:rsidP="00314DA8">
      <w:pPr>
        <w:spacing w:after="120" w:line="240" w:lineRule="atLeast"/>
        <w:jc w:val="both"/>
        <w:rPr>
          <w:rFonts w:cstheme="minorHAnsi"/>
          <w:color w:val="000000" w:themeColor="text1"/>
          <w:lang w:val="en-GB"/>
        </w:rPr>
      </w:pPr>
      <w:proofErr w:type="spellStart"/>
      <w:r w:rsidRPr="00E9480B">
        <w:rPr>
          <w:rFonts w:cstheme="minorHAnsi"/>
          <w:color w:val="000000" w:themeColor="text1"/>
          <w:lang w:val="en-GB"/>
        </w:rPr>
        <w:t>Giunco</w:t>
      </w:r>
      <w:proofErr w:type="spellEnd"/>
      <w:r w:rsidRPr="00E9480B">
        <w:rPr>
          <w:rFonts w:cstheme="minorHAnsi"/>
          <w:color w:val="000000" w:themeColor="text1"/>
          <w:lang w:val="en-GB"/>
        </w:rPr>
        <w:t>, F. (2010) “Il voucher socio-</w:t>
      </w:r>
      <w:proofErr w:type="spellStart"/>
      <w:r w:rsidRPr="00E9480B">
        <w:rPr>
          <w:rFonts w:cstheme="minorHAnsi"/>
          <w:color w:val="000000" w:themeColor="text1"/>
          <w:lang w:val="en-GB"/>
        </w:rPr>
        <w:t>sanitario</w:t>
      </w:r>
      <w:proofErr w:type="spellEnd"/>
      <w:r w:rsidRPr="00E9480B">
        <w:rPr>
          <w:rFonts w:cstheme="minorHAnsi"/>
          <w:color w:val="000000" w:themeColor="text1"/>
          <w:lang w:val="en-GB"/>
        </w:rPr>
        <w:t xml:space="preserve">” in Gori, C. </w:t>
      </w:r>
      <w:r w:rsidRPr="00E9480B">
        <w:rPr>
          <w:rFonts w:cstheme="minorHAnsi"/>
          <w:i/>
          <w:iCs/>
          <w:color w:val="000000" w:themeColor="text1"/>
          <w:lang w:val="en-GB"/>
        </w:rPr>
        <w:t xml:space="preserve">Come Cambia </w:t>
      </w:r>
      <w:proofErr w:type="spellStart"/>
      <w:r w:rsidRPr="00E9480B">
        <w:rPr>
          <w:rFonts w:cstheme="minorHAnsi"/>
          <w:i/>
          <w:iCs/>
          <w:color w:val="000000" w:themeColor="text1"/>
          <w:lang w:val="en-GB"/>
        </w:rPr>
        <w:t>il</w:t>
      </w:r>
      <w:proofErr w:type="spellEnd"/>
      <w:r w:rsidRPr="00E9480B">
        <w:rPr>
          <w:rFonts w:cstheme="minorHAnsi"/>
          <w:i/>
          <w:iCs/>
          <w:color w:val="000000" w:themeColor="text1"/>
          <w:lang w:val="en-GB"/>
        </w:rPr>
        <w:t xml:space="preserve"> Welfare Lombardo. Una </w:t>
      </w:r>
      <w:proofErr w:type="spellStart"/>
      <w:r w:rsidRPr="00E9480B">
        <w:rPr>
          <w:rFonts w:cstheme="minorHAnsi"/>
          <w:i/>
          <w:iCs/>
          <w:color w:val="000000" w:themeColor="text1"/>
          <w:lang w:val="en-GB"/>
        </w:rPr>
        <w:t>valutazione</w:t>
      </w:r>
      <w:proofErr w:type="spellEnd"/>
      <w:r w:rsidRPr="00E9480B">
        <w:rPr>
          <w:rFonts w:cstheme="minorHAnsi"/>
          <w:i/>
          <w:iCs/>
          <w:color w:val="000000" w:themeColor="text1"/>
          <w:lang w:val="en-GB"/>
        </w:rPr>
        <w:t xml:space="preserve"> </w:t>
      </w:r>
      <w:proofErr w:type="spellStart"/>
      <w:r w:rsidRPr="00E9480B">
        <w:rPr>
          <w:rFonts w:cstheme="minorHAnsi"/>
          <w:i/>
          <w:iCs/>
          <w:color w:val="000000" w:themeColor="text1"/>
          <w:lang w:val="en-GB"/>
        </w:rPr>
        <w:t>delle</w:t>
      </w:r>
      <w:proofErr w:type="spellEnd"/>
      <w:r w:rsidRPr="00E9480B">
        <w:rPr>
          <w:rFonts w:cstheme="minorHAnsi"/>
          <w:i/>
          <w:iCs/>
          <w:color w:val="000000" w:themeColor="text1"/>
          <w:lang w:val="en-GB"/>
        </w:rPr>
        <w:t xml:space="preserve"> </w:t>
      </w:r>
      <w:proofErr w:type="spellStart"/>
      <w:r w:rsidRPr="00E9480B">
        <w:rPr>
          <w:rFonts w:cstheme="minorHAnsi"/>
          <w:i/>
          <w:iCs/>
          <w:color w:val="000000" w:themeColor="text1"/>
          <w:lang w:val="en-GB"/>
        </w:rPr>
        <w:t>politiche</w:t>
      </w:r>
      <w:proofErr w:type="spellEnd"/>
      <w:r w:rsidRPr="00E9480B">
        <w:rPr>
          <w:rFonts w:cstheme="minorHAnsi"/>
          <w:i/>
          <w:iCs/>
          <w:color w:val="000000" w:themeColor="text1"/>
          <w:lang w:val="en-GB"/>
        </w:rPr>
        <w:t xml:space="preserve"> </w:t>
      </w:r>
      <w:proofErr w:type="spellStart"/>
      <w:r w:rsidRPr="00E9480B">
        <w:rPr>
          <w:rFonts w:cstheme="minorHAnsi"/>
          <w:i/>
          <w:iCs/>
          <w:color w:val="000000" w:themeColor="text1"/>
          <w:lang w:val="en-GB"/>
        </w:rPr>
        <w:t>regionali</w:t>
      </w:r>
      <w:proofErr w:type="spellEnd"/>
      <w:r w:rsidRPr="00E9480B">
        <w:rPr>
          <w:rFonts w:cstheme="minorHAnsi"/>
          <w:color w:val="000000" w:themeColor="text1"/>
          <w:lang w:val="en-GB"/>
        </w:rPr>
        <w:t xml:space="preserve">, </w:t>
      </w:r>
      <w:proofErr w:type="spellStart"/>
      <w:r w:rsidRPr="00E9480B">
        <w:rPr>
          <w:rFonts w:cstheme="minorHAnsi"/>
          <w:color w:val="000000" w:themeColor="text1"/>
          <w:lang w:val="en-GB"/>
        </w:rPr>
        <w:t>Santarcangelo</w:t>
      </w:r>
      <w:proofErr w:type="spellEnd"/>
      <w:r w:rsidRPr="00E9480B">
        <w:rPr>
          <w:rFonts w:cstheme="minorHAnsi"/>
          <w:color w:val="000000" w:themeColor="text1"/>
          <w:lang w:val="en-GB"/>
        </w:rPr>
        <w:t xml:space="preserve"> di Romagna, </w:t>
      </w:r>
      <w:proofErr w:type="spellStart"/>
      <w:r w:rsidRPr="00E9480B">
        <w:rPr>
          <w:rFonts w:cstheme="minorHAnsi"/>
          <w:color w:val="000000" w:themeColor="text1"/>
          <w:lang w:val="en-GB"/>
        </w:rPr>
        <w:t>Maggioli</w:t>
      </w:r>
      <w:proofErr w:type="spellEnd"/>
      <w:r w:rsidRPr="00E9480B">
        <w:rPr>
          <w:rFonts w:cstheme="minorHAnsi"/>
          <w:color w:val="000000" w:themeColor="text1"/>
          <w:lang w:val="en-GB"/>
        </w:rPr>
        <w:t xml:space="preserve"> </w:t>
      </w:r>
      <w:proofErr w:type="spellStart"/>
      <w:r w:rsidRPr="00E9480B">
        <w:rPr>
          <w:rFonts w:cstheme="minorHAnsi"/>
          <w:color w:val="000000" w:themeColor="text1"/>
          <w:lang w:val="en-GB"/>
        </w:rPr>
        <w:t>Editore</w:t>
      </w:r>
      <w:proofErr w:type="spellEnd"/>
      <w:r w:rsidRPr="00E9480B">
        <w:rPr>
          <w:rFonts w:cstheme="minorHAnsi"/>
          <w:color w:val="000000" w:themeColor="text1"/>
          <w:lang w:val="en-GB"/>
        </w:rPr>
        <w:t xml:space="preserve">. </w:t>
      </w:r>
    </w:p>
    <w:p w14:paraId="4A7EA16C" w14:textId="77777777" w:rsidR="00314DA8" w:rsidRPr="00E9480B" w:rsidRDefault="00314DA8" w:rsidP="00314DA8">
      <w:pPr>
        <w:spacing w:after="120" w:line="240" w:lineRule="atLeast"/>
        <w:jc w:val="both"/>
        <w:rPr>
          <w:rFonts w:cstheme="minorHAnsi"/>
          <w:color w:val="000000" w:themeColor="text1"/>
          <w:lang w:val="en-GB"/>
        </w:rPr>
      </w:pPr>
      <w:r w:rsidRPr="00E9480B">
        <w:rPr>
          <w:rFonts w:cstheme="minorHAnsi"/>
          <w:color w:val="000000" w:themeColor="text1"/>
          <w:lang w:val="en-GB"/>
        </w:rPr>
        <w:t xml:space="preserve">Glasby, J. (2012) “Social Care” in </w:t>
      </w:r>
      <w:proofErr w:type="spellStart"/>
      <w:r w:rsidRPr="00E9480B">
        <w:rPr>
          <w:rFonts w:cstheme="minorHAnsi"/>
          <w:color w:val="000000" w:themeColor="text1"/>
          <w:lang w:val="en-GB"/>
        </w:rPr>
        <w:t>Alcock</w:t>
      </w:r>
      <w:proofErr w:type="spellEnd"/>
      <w:r w:rsidRPr="00E9480B">
        <w:rPr>
          <w:rFonts w:cstheme="minorHAnsi"/>
          <w:color w:val="000000" w:themeColor="text1"/>
          <w:lang w:val="en-GB"/>
        </w:rPr>
        <w:t xml:space="preserve"> P., May, M. and Wright, S. eds. </w:t>
      </w:r>
      <w:r w:rsidRPr="00E9480B">
        <w:rPr>
          <w:rFonts w:cstheme="minorHAnsi"/>
          <w:i/>
          <w:color w:val="000000" w:themeColor="text1"/>
          <w:lang w:val="en-GB"/>
        </w:rPr>
        <w:t>The Student's Companion to Social Policy</w:t>
      </w:r>
      <w:r w:rsidRPr="00E9480B">
        <w:rPr>
          <w:rFonts w:cstheme="minorHAnsi"/>
          <w:color w:val="000000" w:themeColor="text1"/>
          <w:lang w:val="en-GB"/>
        </w:rPr>
        <w:t>, Oxford, Blackwell. </w:t>
      </w:r>
    </w:p>
    <w:p w14:paraId="7703962E" w14:textId="77777777" w:rsidR="00314DA8" w:rsidRPr="00E9480B" w:rsidRDefault="00314DA8" w:rsidP="00314DA8">
      <w:pPr>
        <w:spacing w:after="120" w:line="240" w:lineRule="atLeast"/>
        <w:jc w:val="both"/>
        <w:rPr>
          <w:rFonts w:cstheme="minorHAnsi"/>
          <w:color w:val="000000" w:themeColor="text1"/>
          <w:lang w:val="en-GB"/>
        </w:rPr>
      </w:pPr>
      <w:r w:rsidRPr="00E9480B">
        <w:rPr>
          <w:rFonts w:cstheme="minorHAnsi"/>
          <w:color w:val="000000" w:themeColor="text1"/>
          <w:lang w:val="en-GB"/>
        </w:rPr>
        <w:t xml:space="preserve">Glasby, J. Littlechild, R. (2016) </w:t>
      </w:r>
      <w:r w:rsidRPr="00E9480B">
        <w:rPr>
          <w:rFonts w:cstheme="minorHAnsi"/>
          <w:i/>
          <w:color w:val="000000" w:themeColor="text1"/>
          <w:lang w:val="en-GB"/>
        </w:rPr>
        <w:t>Direct Payments and Personal Budgets. Putting personalisation into practice</w:t>
      </w:r>
      <w:r w:rsidRPr="00E9480B">
        <w:rPr>
          <w:rFonts w:cstheme="minorHAnsi"/>
          <w:color w:val="000000" w:themeColor="text1"/>
          <w:lang w:val="en-GB"/>
        </w:rPr>
        <w:t xml:space="preserve">, Bristol, Policy Press. </w:t>
      </w:r>
    </w:p>
    <w:p w14:paraId="5FA55CC4" w14:textId="77777777" w:rsidR="00314DA8" w:rsidRPr="00E9480B" w:rsidRDefault="00314DA8" w:rsidP="00314DA8">
      <w:pPr>
        <w:spacing w:after="120" w:line="240" w:lineRule="atLeast"/>
        <w:jc w:val="both"/>
        <w:rPr>
          <w:rFonts w:cstheme="minorHAnsi"/>
          <w:color w:val="000000" w:themeColor="text1"/>
          <w:lang w:val="en-GB"/>
        </w:rPr>
      </w:pPr>
      <w:proofErr w:type="spellStart"/>
      <w:r w:rsidRPr="00E9480B">
        <w:rPr>
          <w:rFonts w:cstheme="minorHAnsi"/>
          <w:color w:val="000000" w:themeColor="text1"/>
          <w:lang w:val="en-GB"/>
        </w:rPr>
        <w:t>Glennerster</w:t>
      </w:r>
      <w:proofErr w:type="spellEnd"/>
      <w:r w:rsidRPr="00E9480B">
        <w:rPr>
          <w:rFonts w:cstheme="minorHAnsi"/>
          <w:color w:val="000000" w:themeColor="text1"/>
          <w:lang w:val="en-GB"/>
        </w:rPr>
        <w:t xml:space="preserve">, H. (2009) </w:t>
      </w:r>
      <w:r w:rsidRPr="00E9480B">
        <w:rPr>
          <w:rFonts w:cstheme="minorHAnsi"/>
          <w:i/>
          <w:iCs/>
          <w:color w:val="000000" w:themeColor="text1"/>
          <w:lang w:val="en-GB"/>
        </w:rPr>
        <w:t>Understanding the finance of welfare</w:t>
      </w:r>
      <w:r w:rsidRPr="00E9480B">
        <w:rPr>
          <w:rFonts w:cstheme="minorHAnsi"/>
          <w:color w:val="000000" w:themeColor="text1"/>
          <w:lang w:val="en-GB"/>
        </w:rPr>
        <w:t xml:space="preserve">, Bristol, Policy </w:t>
      </w:r>
      <w:proofErr w:type="spellStart"/>
      <w:r w:rsidRPr="00E9480B">
        <w:rPr>
          <w:rFonts w:cstheme="minorHAnsi"/>
          <w:color w:val="000000" w:themeColor="text1"/>
          <w:lang w:val="en-GB"/>
        </w:rPr>
        <w:t>ress</w:t>
      </w:r>
      <w:proofErr w:type="spellEnd"/>
      <w:r w:rsidRPr="00E9480B">
        <w:rPr>
          <w:rFonts w:cstheme="minorHAnsi"/>
          <w:color w:val="000000" w:themeColor="text1"/>
          <w:lang w:val="en-GB"/>
        </w:rPr>
        <w:t xml:space="preserve">. </w:t>
      </w:r>
      <w:r w:rsidRPr="00E9480B">
        <w:rPr>
          <w:rFonts w:cstheme="minorHAnsi"/>
          <w:i/>
          <w:iCs/>
          <w:color w:val="000000" w:themeColor="text1"/>
          <w:lang w:val="en-GB"/>
        </w:rPr>
        <w:t xml:space="preserve"> </w:t>
      </w:r>
    </w:p>
    <w:p w14:paraId="65E4C75B" w14:textId="77777777" w:rsidR="00314DA8" w:rsidRPr="00E9480B" w:rsidRDefault="00314DA8" w:rsidP="00314DA8">
      <w:pPr>
        <w:spacing w:after="120" w:line="240" w:lineRule="atLeast"/>
        <w:jc w:val="both"/>
        <w:rPr>
          <w:rFonts w:cstheme="minorHAnsi"/>
          <w:color w:val="000000" w:themeColor="text1"/>
          <w:lang w:val="en-GB"/>
        </w:rPr>
      </w:pPr>
      <w:proofErr w:type="spellStart"/>
      <w:r w:rsidRPr="00E9480B">
        <w:rPr>
          <w:rFonts w:cstheme="minorHAnsi"/>
          <w:color w:val="000000" w:themeColor="text1"/>
          <w:lang w:val="en-GB"/>
        </w:rPr>
        <w:t>Glennerster</w:t>
      </w:r>
      <w:proofErr w:type="spellEnd"/>
      <w:r w:rsidRPr="00E9480B">
        <w:rPr>
          <w:rFonts w:cstheme="minorHAnsi"/>
          <w:color w:val="000000" w:themeColor="text1"/>
          <w:lang w:val="en-GB"/>
        </w:rPr>
        <w:t xml:space="preserve">, H. (2013) </w:t>
      </w:r>
      <w:r w:rsidRPr="00E9480B">
        <w:rPr>
          <w:rFonts w:cstheme="minorHAnsi"/>
          <w:i/>
          <w:iCs/>
          <w:color w:val="000000" w:themeColor="text1"/>
          <w:lang w:val="en-GB"/>
        </w:rPr>
        <w:t>Paying for welfare. Towards 2000</w:t>
      </w:r>
      <w:r w:rsidRPr="00E9480B">
        <w:rPr>
          <w:rFonts w:cstheme="minorHAnsi"/>
          <w:color w:val="000000" w:themeColor="text1"/>
          <w:lang w:val="en-GB"/>
        </w:rPr>
        <w:t xml:space="preserve">, Abingdon - Oxon, Routledge. </w:t>
      </w:r>
    </w:p>
    <w:p w14:paraId="14C0ED71" w14:textId="77777777" w:rsidR="00314DA8" w:rsidRPr="00E9480B" w:rsidRDefault="00314DA8" w:rsidP="00314DA8">
      <w:pPr>
        <w:spacing w:after="120" w:line="240" w:lineRule="atLeast"/>
        <w:jc w:val="both"/>
        <w:rPr>
          <w:rFonts w:cstheme="minorHAnsi"/>
          <w:color w:val="000000" w:themeColor="text1"/>
          <w:lang w:val="en-GB"/>
        </w:rPr>
      </w:pPr>
      <w:r w:rsidRPr="000B2E3E">
        <w:rPr>
          <w:rFonts w:cstheme="minorHAnsi"/>
          <w:color w:val="000000" w:themeColor="text1"/>
          <w:lang w:val="en-GB"/>
        </w:rPr>
        <w:t>Goldsmith, S., &amp; Eggers, W. D. (2005). </w:t>
      </w:r>
      <w:r w:rsidRPr="000B2E3E">
        <w:rPr>
          <w:rFonts w:cstheme="minorHAnsi"/>
          <w:i/>
          <w:iCs/>
          <w:color w:val="000000" w:themeColor="text1"/>
          <w:lang w:val="en-GB"/>
        </w:rPr>
        <w:t>Governing by network: The new shape of the public sector</w:t>
      </w:r>
      <w:r w:rsidRPr="000B2E3E">
        <w:rPr>
          <w:rFonts w:cstheme="minorHAnsi"/>
          <w:color w:val="000000" w:themeColor="text1"/>
          <w:lang w:val="en-GB"/>
        </w:rPr>
        <w:t>. Brookings Institution Press.</w:t>
      </w:r>
    </w:p>
    <w:p w14:paraId="4861B36F" w14:textId="77777777" w:rsidR="00314DA8" w:rsidRPr="00E9480B" w:rsidRDefault="00314DA8" w:rsidP="00314DA8">
      <w:pPr>
        <w:spacing w:after="120" w:line="240" w:lineRule="atLeast"/>
        <w:jc w:val="both"/>
        <w:rPr>
          <w:rFonts w:cstheme="minorHAnsi"/>
          <w:color w:val="000000" w:themeColor="text1"/>
          <w:shd w:val="clear" w:color="auto" w:fill="FFFFFF"/>
          <w:lang w:val="en-GB"/>
        </w:rPr>
      </w:pPr>
      <w:r w:rsidRPr="00E9480B">
        <w:rPr>
          <w:rFonts w:cstheme="minorHAnsi"/>
          <w:color w:val="000000" w:themeColor="text1"/>
          <w:shd w:val="clear" w:color="auto" w:fill="FFFFFF"/>
          <w:lang w:val="en-GB"/>
        </w:rPr>
        <w:t>Gori, C. (Ed.). (2005), </w:t>
      </w:r>
      <w:proofErr w:type="spellStart"/>
      <w:r w:rsidRPr="00E9480B">
        <w:rPr>
          <w:rFonts w:cstheme="minorHAnsi"/>
          <w:i/>
          <w:iCs/>
          <w:color w:val="000000" w:themeColor="text1"/>
          <w:shd w:val="clear" w:color="auto" w:fill="FFFFFF"/>
          <w:lang w:val="en-GB"/>
        </w:rPr>
        <w:t>Politiche</w:t>
      </w:r>
      <w:proofErr w:type="spellEnd"/>
      <w:r w:rsidRPr="00E9480B">
        <w:rPr>
          <w:rFonts w:cstheme="minorHAnsi"/>
          <w:i/>
          <w:iCs/>
          <w:color w:val="000000" w:themeColor="text1"/>
          <w:shd w:val="clear" w:color="auto" w:fill="FFFFFF"/>
          <w:lang w:val="en-GB"/>
        </w:rPr>
        <w:t xml:space="preserve"> </w:t>
      </w:r>
      <w:proofErr w:type="spellStart"/>
      <w:r w:rsidRPr="00E9480B">
        <w:rPr>
          <w:rFonts w:cstheme="minorHAnsi"/>
          <w:i/>
          <w:iCs/>
          <w:color w:val="000000" w:themeColor="text1"/>
          <w:shd w:val="clear" w:color="auto" w:fill="FFFFFF"/>
          <w:lang w:val="en-GB"/>
        </w:rPr>
        <w:t>sociali</w:t>
      </w:r>
      <w:proofErr w:type="spellEnd"/>
      <w:r w:rsidRPr="00E9480B">
        <w:rPr>
          <w:rFonts w:cstheme="minorHAnsi"/>
          <w:i/>
          <w:iCs/>
          <w:color w:val="000000" w:themeColor="text1"/>
          <w:shd w:val="clear" w:color="auto" w:fill="FFFFFF"/>
          <w:lang w:val="en-GB"/>
        </w:rPr>
        <w:t xml:space="preserve"> di </w:t>
      </w:r>
      <w:proofErr w:type="spellStart"/>
      <w:r w:rsidRPr="00E9480B">
        <w:rPr>
          <w:rFonts w:cstheme="minorHAnsi"/>
          <w:i/>
          <w:iCs/>
          <w:color w:val="000000" w:themeColor="text1"/>
          <w:shd w:val="clear" w:color="auto" w:fill="FFFFFF"/>
          <w:lang w:val="en-GB"/>
        </w:rPr>
        <w:t>centro-destra</w:t>
      </w:r>
      <w:proofErr w:type="spellEnd"/>
      <w:r w:rsidRPr="00E9480B">
        <w:rPr>
          <w:rFonts w:cstheme="minorHAnsi"/>
          <w:i/>
          <w:iCs/>
          <w:color w:val="000000" w:themeColor="text1"/>
          <w:shd w:val="clear" w:color="auto" w:fill="FFFFFF"/>
          <w:lang w:val="en-GB"/>
        </w:rPr>
        <w:t xml:space="preserve">: la </w:t>
      </w:r>
      <w:proofErr w:type="spellStart"/>
      <w:r w:rsidRPr="00E9480B">
        <w:rPr>
          <w:rFonts w:cstheme="minorHAnsi"/>
          <w:i/>
          <w:iCs/>
          <w:color w:val="000000" w:themeColor="text1"/>
          <w:shd w:val="clear" w:color="auto" w:fill="FFFFFF"/>
          <w:lang w:val="en-GB"/>
        </w:rPr>
        <w:t>riforma</w:t>
      </w:r>
      <w:proofErr w:type="spellEnd"/>
      <w:r w:rsidRPr="00E9480B">
        <w:rPr>
          <w:rFonts w:cstheme="minorHAnsi"/>
          <w:i/>
          <w:iCs/>
          <w:color w:val="000000" w:themeColor="text1"/>
          <w:shd w:val="clear" w:color="auto" w:fill="FFFFFF"/>
          <w:lang w:val="en-GB"/>
        </w:rPr>
        <w:t xml:space="preserve"> del welfare Lombardo</w:t>
      </w:r>
      <w:r w:rsidRPr="00E9480B">
        <w:rPr>
          <w:rFonts w:cstheme="minorHAnsi"/>
          <w:color w:val="000000" w:themeColor="text1"/>
          <w:shd w:val="clear" w:color="auto" w:fill="FFFFFF"/>
          <w:lang w:val="en-GB"/>
        </w:rPr>
        <w:t xml:space="preserve">, </w:t>
      </w:r>
      <w:proofErr w:type="spellStart"/>
      <w:r w:rsidRPr="00E9480B">
        <w:rPr>
          <w:rFonts w:cstheme="minorHAnsi"/>
          <w:color w:val="000000" w:themeColor="text1"/>
          <w:shd w:val="clear" w:color="auto" w:fill="FFFFFF"/>
          <w:lang w:val="en-GB"/>
        </w:rPr>
        <w:t>Carocci</w:t>
      </w:r>
      <w:proofErr w:type="spellEnd"/>
      <w:r w:rsidRPr="00E9480B">
        <w:rPr>
          <w:rFonts w:cstheme="minorHAnsi"/>
          <w:color w:val="000000" w:themeColor="text1"/>
          <w:shd w:val="clear" w:color="auto" w:fill="FFFFFF"/>
          <w:lang w:val="en-GB"/>
        </w:rPr>
        <w:t>, Roma.</w:t>
      </w:r>
    </w:p>
    <w:p w14:paraId="672D89AE" w14:textId="77777777" w:rsidR="00314DA8" w:rsidRPr="00E9480B" w:rsidRDefault="00314DA8" w:rsidP="00314DA8">
      <w:pPr>
        <w:spacing w:after="120" w:line="240" w:lineRule="atLeast"/>
        <w:jc w:val="both"/>
        <w:rPr>
          <w:rFonts w:cstheme="minorHAnsi"/>
          <w:color w:val="000000" w:themeColor="text1"/>
          <w:shd w:val="clear" w:color="auto" w:fill="FFFFFF"/>
          <w:lang w:val="en-GB"/>
        </w:rPr>
      </w:pPr>
      <w:r w:rsidRPr="00E9480B">
        <w:rPr>
          <w:rFonts w:cstheme="minorHAnsi"/>
          <w:color w:val="000000" w:themeColor="text1"/>
          <w:shd w:val="clear" w:color="auto" w:fill="FFFFFF"/>
          <w:lang w:val="en-GB"/>
        </w:rPr>
        <w:t>Gori, C. (Ed.). (2010), </w:t>
      </w:r>
      <w:r w:rsidRPr="00E9480B">
        <w:rPr>
          <w:rFonts w:cstheme="minorHAnsi"/>
          <w:i/>
          <w:iCs/>
          <w:color w:val="000000" w:themeColor="text1"/>
          <w:shd w:val="clear" w:color="auto" w:fill="FFFFFF"/>
          <w:lang w:val="en-GB"/>
        </w:rPr>
        <w:t xml:space="preserve">Come cambia </w:t>
      </w:r>
      <w:proofErr w:type="spellStart"/>
      <w:r w:rsidRPr="00E9480B">
        <w:rPr>
          <w:rFonts w:cstheme="minorHAnsi"/>
          <w:i/>
          <w:iCs/>
          <w:color w:val="000000" w:themeColor="text1"/>
          <w:shd w:val="clear" w:color="auto" w:fill="FFFFFF"/>
          <w:lang w:val="en-GB"/>
        </w:rPr>
        <w:t>il</w:t>
      </w:r>
      <w:proofErr w:type="spellEnd"/>
      <w:r w:rsidRPr="00E9480B">
        <w:rPr>
          <w:rFonts w:cstheme="minorHAnsi"/>
          <w:i/>
          <w:iCs/>
          <w:color w:val="000000" w:themeColor="text1"/>
          <w:shd w:val="clear" w:color="auto" w:fill="FFFFFF"/>
          <w:lang w:val="en-GB"/>
        </w:rPr>
        <w:t xml:space="preserve"> welfare </w:t>
      </w:r>
      <w:proofErr w:type="spellStart"/>
      <w:r w:rsidRPr="00E9480B">
        <w:rPr>
          <w:rFonts w:cstheme="minorHAnsi"/>
          <w:i/>
          <w:iCs/>
          <w:color w:val="000000" w:themeColor="text1"/>
          <w:shd w:val="clear" w:color="auto" w:fill="FFFFFF"/>
          <w:lang w:val="en-GB"/>
        </w:rPr>
        <w:t>lombardo</w:t>
      </w:r>
      <w:proofErr w:type="spellEnd"/>
      <w:r w:rsidRPr="00E9480B">
        <w:rPr>
          <w:rFonts w:cstheme="minorHAnsi"/>
          <w:i/>
          <w:iCs/>
          <w:color w:val="000000" w:themeColor="text1"/>
          <w:shd w:val="clear" w:color="auto" w:fill="FFFFFF"/>
          <w:lang w:val="en-GB"/>
        </w:rPr>
        <w:t xml:space="preserve">: Una </w:t>
      </w:r>
      <w:proofErr w:type="spellStart"/>
      <w:r w:rsidRPr="00E9480B">
        <w:rPr>
          <w:rFonts w:cstheme="minorHAnsi"/>
          <w:i/>
          <w:iCs/>
          <w:color w:val="000000" w:themeColor="text1"/>
          <w:shd w:val="clear" w:color="auto" w:fill="FFFFFF"/>
          <w:lang w:val="en-GB"/>
        </w:rPr>
        <w:t>valutazione</w:t>
      </w:r>
      <w:proofErr w:type="spellEnd"/>
      <w:r w:rsidRPr="00E9480B">
        <w:rPr>
          <w:rFonts w:cstheme="minorHAnsi"/>
          <w:i/>
          <w:iCs/>
          <w:color w:val="000000" w:themeColor="text1"/>
          <w:shd w:val="clear" w:color="auto" w:fill="FFFFFF"/>
          <w:lang w:val="en-GB"/>
        </w:rPr>
        <w:t xml:space="preserve"> </w:t>
      </w:r>
      <w:proofErr w:type="spellStart"/>
      <w:r w:rsidRPr="00E9480B">
        <w:rPr>
          <w:rFonts w:cstheme="minorHAnsi"/>
          <w:i/>
          <w:iCs/>
          <w:color w:val="000000" w:themeColor="text1"/>
          <w:shd w:val="clear" w:color="auto" w:fill="FFFFFF"/>
          <w:lang w:val="en-GB"/>
        </w:rPr>
        <w:t>delle</w:t>
      </w:r>
      <w:proofErr w:type="spellEnd"/>
      <w:r w:rsidRPr="00E9480B">
        <w:rPr>
          <w:rFonts w:cstheme="minorHAnsi"/>
          <w:i/>
          <w:iCs/>
          <w:color w:val="000000" w:themeColor="text1"/>
          <w:shd w:val="clear" w:color="auto" w:fill="FFFFFF"/>
          <w:lang w:val="en-GB"/>
        </w:rPr>
        <w:t xml:space="preserve"> </w:t>
      </w:r>
      <w:proofErr w:type="spellStart"/>
      <w:r w:rsidRPr="00E9480B">
        <w:rPr>
          <w:rFonts w:cstheme="minorHAnsi"/>
          <w:i/>
          <w:iCs/>
          <w:color w:val="000000" w:themeColor="text1"/>
          <w:shd w:val="clear" w:color="auto" w:fill="FFFFFF"/>
          <w:lang w:val="en-GB"/>
        </w:rPr>
        <w:t>politiche</w:t>
      </w:r>
      <w:proofErr w:type="spellEnd"/>
      <w:r w:rsidRPr="00E9480B">
        <w:rPr>
          <w:rFonts w:cstheme="minorHAnsi"/>
          <w:i/>
          <w:iCs/>
          <w:color w:val="000000" w:themeColor="text1"/>
          <w:shd w:val="clear" w:color="auto" w:fill="FFFFFF"/>
          <w:lang w:val="en-GB"/>
        </w:rPr>
        <w:t xml:space="preserve"> </w:t>
      </w:r>
      <w:proofErr w:type="spellStart"/>
      <w:r w:rsidRPr="00E9480B">
        <w:rPr>
          <w:rFonts w:cstheme="minorHAnsi"/>
          <w:i/>
          <w:iCs/>
          <w:color w:val="000000" w:themeColor="text1"/>
          <w:shd w:val="clear" w:color="auto" w:fill="FFFFFF"/>
          <w:lang w:val="en-GB"/>
        </w:rPr>
        <w:t>regionali</w:t>
      </w:r>
      <w:proofErr w:type="spellEnd"/>
      <w:r w:rsidRPr="00E9480B">
        <w:rPr>
          <w:rFonts w:cstheme="minorHAnsi"/>
          <w:color w:val="000000" w:themeColor="text1"/>
          <w:shd w:val="clear" w:color="auto" w:fill="FFFFFF"/>
          <w:lang w:val="en-GB"/>
        </w:rPr>
        <w:t xml:space="preserve">, </w:t>
      </w:r>
      <w:proofErr w:type="spellStart"/>
      <w:r w:rsidRPr="00E9480B">
        <w:rPr>
          <w:rFonts w:cstheme="minorHAnsi"/>
          <w:color w:val="000000" w:themeColor="text1"/>
          <w:shd w:val="clear" w:color="auto" w:fill="FFFFFF"/>
          <w:lang w:val="en-GB"/>
        </w:rPr>
        <w:t>Maggioli</w:t>
      </w:r>
      <w:proofErr w:type="spellEnd"/>
      <w:r w:rsidRPr="00E9480B">
        <w:rPr>
          <w:rFonts w:cstheme="minorHAnsi"/>
          <w:color w:val="000000" w:themeColor="text1"/>
          <w:shd w:val="clear" w:color="auto" w:fill="FFFFFF"/>
          <w:lang w:val="en-GB"/>
        </w:rPr>
        <w:t xml:space="preserve">, Bologna. </w:t>
      </w:r>
    </w:p>
    <w:p w14:paraId="5907C8AD" w14:textId="77777777" w:rsidR="00314DA8" w:rsidRPr="00E9480B" w:rsidRDefault="00314DA8" w:rsidP="00314DA8">
      <w:pPr>
        <w:spacing w:after="120" w:line="240" w:lineRule="atLeast"/>
        <w:jc w:val="both"/>
        <w:rPr>
          <w:rFonts w:cstheme="minorHAnsi"/>
          <w:color w:val="000000" w:themeColor="text1"/>
          <w:lang w:val="en-GB"/>
        </w:rPr>
      </w:pPr>
      <w:proofErr w:type="spellStart"/>
      <w:r w:rsidRPr="00E9480B">
        <w:rPr>
          <w:rFonts w:cstheme="minorHAnsi"/>
          <w:color w:val="000000" w:themeColor="text1"/>
        </w:rPr>
        <w:t>Guba</w:t>
      </w:r>
      <w:proofErr w:type="spellEnd"/>
      <w:r w:rsidRPr="00E9480B">
        <w:rPr>
          <w:rFonts w:cstheme="minorHAnsi"/>
          <w:color w:val="000000" w:themeColor="text1"/>
        </w:rPr>
        <w:t xml:space="preserve">, E.G., and Lincoln, Y.S. (1989) </w:t>
      </w:r>
      <w:proofErr w:type="spellStart"/>
      <w:r w:rsidRPr="00E9480B">
        <w:rPr>
          <w:rFonts w:cstheme="minorHAnsi"/>
          <w:i/>
          <w:color w:val="000000" w:themeColor="text1"/>
        </w:rPr>
        <w:t>Fourth</w:t>
      </w:r>
      <w:proofErr w:type="spellEnd"/>
      <w:r w:rsidRPr="00E9480B">
        <w:rPr>
          <w:rFonts w:cstheme="minorHAnsi"/>
          <w:i/>
          <w:color w:val="000000" w:themeColor="text1"/>
        </w:rPr>
        <w:t xml:space="preserve"> generation </w:t>
      </w:r>
      <w:proofErr w:type="spellStart"/>
      <w:r w:rsidRPr="00E9480B">
        <w:rPr>
          <w:rFonts w:cstheme="minorHAnsi"/>
          <w:i/>
          <w:color w:val="000000" w:themeColor="text1"/>
        </w:rPr>
        <w:t>evaluation</w:t>
      </w:r>
      <w:proofErr w:type="spellEnd"/>
      <w:r w:rsidRPr="00E9480B">
        <w:rPr>
          <w:rFonts w:cstheme="minorHAnsi"/>
          <w:color w:val="000000" w:themeColor="text1"/>
        </w:rPr>
        <w:t xml:space="preserve">. </w:t>
      </w:r>
      <w:proofErr w:type="spellStart"/>
      <w:r w:rsidRPr="00E9480B">
        <w:rPr>
          <w:rFonts w:cstheme="minorHAnsi"/>
          <w:color w:val="000000" w:themeColor="text1"/>
        </w:rPr>
        <w:t>Newbury</w:t>
      </w:r>
      <w:proofErr w:type="spellEnd"/>
      <w:r w:rsidRPr="00E9480B">
        <w:rPr>
          <w:rFonts w:cstheme="minorHAnsi"/>
          <w:color w:val="000000" w:themeColor="text1"/>
        </w:rPr>
        <w:t xml:space="preserve"> Park, CA: </w:t>
      </w:r>
      <w:proofErr w:type="spellStart"/>
      <w:r w:rsidRPr="00E9480B">
        <w:rPr>
          <w:rFonts w:cstheme="minorHAnsi"/>
          <w:color w:val="000000" w:themeColor="text1"/>
        </w:rPr>
        <w:t>Sage</w:t>
      </w:r>
      <w:proofErr w:type="spellEnd"/>
      <w:r w:rsidRPr="00E9480B">
        <w:rPr>
          <w:rFonts w:cstheme="minorHAnsi"/>
          <w:color w:val="000000" w:themeColor="text1"/>
        </w:rPr>
        <w:t>.</w:t>
      </w:r>
    </w:p>
    <w:p w14:paraId="1AAA8757" w14:textId="77777777" w:rsidR="00314DA8" w:rsidRPr="00E9480B" w:rsidRDefault="00314DA8" w:rsidP="00314DA8">
      <w:pPr>
        <w:spacing w:after="120" w:line="240" w:lineRule="atLeast"/>
        <w:jc w:val="both"/>
        <w:rPr>
          <w:rFonts w:cstheme="minorHAnsi"/>
          <w:color w:val="000000" w:themeColor="text1"/>
          <w:shd w:val="clear" w:color="auto" w:fill="FFFFFF"/>
          <w:lang w:val="en-GB"/>
        </w:rPr>
      </w:pPr>
      <w:proofErr w:type="spellStart"/>
      <w:r w:rsidRPr="00E9480B">
        <w:rPr>
          <w:rFonts w:cstheme="minorHAnsi"/>
          <w:color w:val="000000" w:themeColor="text1"/>
          <w:shd w:val="clear" w:color="auto" w:fill="FFFFFF"/>
          <w:lang w:val="en-GB"/>
        </w:rPr>
        <w:t>Hajer</w:t>
      </w:r>
      <w:proofErr w:type="spellEnd"/>
      <w:r w:rsidRPr="00E9480B">
        <w:rPr>
          <w:rFonts w:cstheme="minorHAnsi"/>
          <w:color w:val="000000" w:themeColor="text1"/>
          <w:shd w:val="clear" w:color="auto" w:fill="FFFFFF"/>
          <w:lang w:val="en-GB"/>
        </w:rPr>
        <w:t>, M. A. (1995), </w:t>
      </w:r>
      <w:r w:rsidRPr="00E9480B">
        <w:rPr>
          <w:rFonts w:cstheme="minorHAnsi"/>
          <w:i/>
          <w:iCs/>
          <w:color w:val="000000" w:themeColor="text1"/>
          <w:shd w:val="clear" w:color="auto" w:fill="FFFFFF"/>
          <w:lang w:val="en-GB"/>
        </w:rPr>
        <w:t>The politics of environmental discourse: ecological modernization and the policy process</w:t>
      </w:r>
      <w:r w:rsidRPr="00E9480B">
        <w:rPr>
          <w:rFonts w:cstheme="minorHAnsi"/>
          <w:color w:val="000000" w:themeColor="text1"/>
          <w:shd w:val="clear" w:color="auto" w:fill="FFFFFF"/>
          <w:lang w:val="en-GB"/>
        </w:rPr>
        <w:t>, Clarendon Press, Oxford.</w:t>
      </w:r>
    </w:p>
    <w:p w14:paraId="1B16DD10" w14:textId="77777777" w:rsidR="00314DA8" w:rsidRPr="00E9480B" w:rsidRDefault="00314DA8" w:rsidP="00314DA8">
      <w:pPr>
        <w:spacing w:after="120" w:line="240" w:lineRule="auto"/>
        <w:jc w:val="both"/>
        <w:rPr>
          <w:rFonts w:ascii="Calibri" w:hAnsi="Calibri" w:cs="Calibri"/>
          <w:color w:val="000000" w:themeColor="text1"/>
          <w:lang w:val="en-GB"/>
        </w:rPr>
      </w:pPr>
      <w:proofErr w:type="spellStart"/>
      <w:r w:rsidRPr="00E9480B">
        <w:rPr>
          <w:rFonts w:ascii="Calibri" w:hAnsi="Calibri" w:cs="Calibri"/>
          <w:color w:val="000000" w:themeColor="text1"/>
          <w:shd w:val="clear" w:color="auto" w:fill="FFFFFF"/>
        </w:rPr>
        <w:t>Hatton</w:t>
      </w:r>
      <w:proofErr w:type="spellEnd"/>
      <w:r w:rsidRPr="00E9480B">
        <w:rPr>
          <w:rFonts w:ascii="Calibri" w:hAnsi="Calibri" w:cs="Calibri"/>
          <w:color w:val="000000" w:themeColor="text1"/>
          <w:shd w:val="clear" w:color="auto" w:fill="FFFFFF"/>
        </w:rPr>
        <w:t xml:space="preserve">, C., Waters, J., </w:t>
      </w:r>
      <w:proofErr w:type="spellStart"/>
      <w:r w:rsidRPr="00E9480B">
        <w:rPr>
          <w:rFonts w:ascii="Calibri" w:hAnsi="Calibri" w:cs="Calibri"/>
          <w:color w:val="000000" w:themeColor="text1"/>
          <w:shd w:val="clear" w:color="auto" w:fill="FFFFFF"/>
        </w:rPr>
        <w:t>Duffy</w:t>
      </w:r>
      <w:proofErr w:type="spellEnd"/>
      <w:r w:rsidRPr="00E9480B">
        <w:rPr>
          <w:rFonts w:ascii="Calibri" w:hAnsi="Calibri" w:cs="Calibri"/>
          <w:color w:val="000000" w:themeColor="text1"/>
          <w:shd w:val="clear" w:color="auto" w:fill="FFFFFF"/>
        </w:rPr>
        <w:t xml:space="preserve">, S., </w:t>
      </w:r>
      <w:proofErr w:type="spellStart"/>
      <w:r w:rsidRPr="00E9480B">
        <w:rPr>
          <w:rFonts w:ascii="Calibri" w:hAnsi="Calibri" w:cs="Calibri"/>
          <w:color w:val="000000" w:themeColor="text1"/>
          <w:shd w:val="clear" w:color="auto" w:fill="FFFFFF"/>
        </w:rPr>
        <w:t>Senker</w:t>
      </w:r>
      <w:proofErr w:type="spellEnd"/>
      <w:r w:rsidRPr="00E9480B">
        <w:rPr>
          <w:rFonts w:ascii="Calibri" w:hAnsi="Calibri" w:cs="Calibri"/>
          <w:color w:val="000000" w:themeColor="text1"/>
          <w:shd w:val="clear" w:color="auto" w:fill="FFFFFF"/>
        </w:rPr>
        <w:t xml:space="preserve">, J., Crosby, N., Poll, C., ... &amp; </w:t>
      </w:r>
      <w:proofErr w:type="spellStart"/>
      <w:r w:rsidRPr="00E9480B">
        <w:rPr>
          <w:rFonts w:ascii="Calibri" w:hAnsi="Calibri" w:cs="Calibri"/>
          <w:color w:val="000000" w:themeColor="text1"/>
          <w:shd w:val="clear" w:color="auto" w:fill="FFFFFF"/>
        </w:rPr>
        <w:t>Towell</w:t>
      </w:r>
      <w:proofErr w:type="spellEnd"/>
      <w:r w:rsidRPr="00E9480B">
        <w:rPr>
          <w:rFonts w:ascii="Calibri" w:hAnsi="Calibri" w:cs="Calibri"/>
          <w:color w:val="000000" w:themeColor="text1"/>
          <w:shd w:val="clear" w:color="auto" w:fill="FFFFFF"/>
        </w:rPr>
        <w:t xml:space="preserve">, D. (2008). A report on in </w:t>
      </w:r>
      <w:proofErr w:type="spellStart"/>
      <w:r w:rsidRPr="00E9480B">
        <w:rPr>
          <w:rFonts w:ascii="Calibri" w:hAnsi="Calibri" w:cs="Calibri"/>
          <w:color w:val="000000" w:themeColor="text1"/>
          <w:shd w:val="clear" w:color="auto" w:fill="FFFFFF"/>
        </w:rPr>
        <w:t>Control’s</w:t>
      </w:r>
      <w:proofErr w:type="spellEnd"/>
      <w:r w:rsidRPr="00E9480B">
        <w:rPr>
          <w:rFonts w:ascii="Calibri" w:hAnsi="Calibri" w:cs="Calibri"/>
          <w:color w:val="000000" w:themeColor="text1"/>
          <w:shd w:val="clear" w:color="auto" w:fill="FFFFFF"/>
        </w:rPr>
        <w:t xml:space="preserve"> Second </w:t>
      </w:r>
      <w:proofErr w:type="spellStart"/>
      <w:r w:rsidRPr="00E9480B">
        <w:rPr>
          <w:rFonts w:ascii="Calibri" w:hAnsi="Calibri" w:cs="Calibri"/>
          <w:color w:val="000000" w:themeColor="text1"/>
          <w:shd w:val="clear" w:color="auto" w:fill="FFFFFF"/>
        </w:rPr>
        <w:t>Phase</w:t>
      </w:r>
      <w:proofErr w:type="spellEnd"/>
      <w:r w:rsidRPr="00E9480B">
        <w:rPr>
          <w:rFonts w:ascii="Calibri" w:hAnsi="Calibri" w:cs="Calibri"/>
          <w:color w:val="000000" w:themeColor="text1"/>
          <w:shd w:val="clear" w:color="auto" w:fill="FFFFFF"/>
        </w:rPr>
        <w:t>. </w:t>
      </w:r>
      <w:r w:rsidRPr="00E9480B">
        <w:rPr>
          <w:rFonts w:ascii="Calibri" w:hAnsi="Calibri" w:cs="Calibri"/>
          <w:i/>
          <w:iCs/>
          <w:color w:val="000000" w:themeColor="text1"/>
          <w:shd w:val="clear" w:color="auto" w:fill="FFFFFF"/>
        </w:rPr>
        <w:t>Evaluation and Learning 2005–2007</w:t>
      </w:r>
      <w:r w:rsidRPr="00E9480B">
        <w:rPr>
          <w:rFonts w:ascii="Calibri" w:hAnsi="Calibri" w:cs="Calibri"/>
          <w:color w:val="000000" w:themeColor="text1"/>
          <w:shd w:val="clear" w:color="auto" w:fill="FFFFFF"/>
        </w:rPr>
        <w:t>.</w:t>
      </w:r>
    </w:p>
    <w:p w14:paraId="572B7B17" w14:textId="77777777" w:rsidR="00314DA8" w:rsidRPr="00E9480B" w:rsidRDefault="00314DA8" w:rsidP="00314DA8">
      <w:pPr>
        <w:spacing w:after="120" w:line="240" w:lineRule="atLeast"/>
        <w:rPr>
          <w:rFonts w:cstheme="minorHAnsi"/>
          <w:color w:val="000000" w:themeColor="text1"/>
          <w:lang w:val="en-GB"/>
        </w:rPr>
      </w:pPr>
      <w:r w:rsidRPr="00E9480B">
        <w:rPr>
          <w:rFonts w:cstheme="minorHAnsi"/>
          <w:color w:val="000000" w:themeColor="text1"/>
          <w:lang w:val="en-GB"/>
        </w:rPr>
        <w:t xml:space="preserve">HM Government (2007). </w:t>
      </w:r>
      <w:r w:rsidRPr="00E9480B">
        <w:rPr>
          <w:rFonts w:cstheme="minorHAnsi"/>
          <w:i/>
          <w:iCs/>
          <w:color w:val="000000" w:themeColor="text1"/>
          <w:lang w:val="en-GB"/>
        </w:rPr>
        <w:t>Putting people first: a shared vision and commitment to the transformation of adult social care</w:t>
      </w:r>
      <w:r w:rsidRPr="00E9480B">
        <w:rPr>
          <w:rFonts w:cstheme="minorHAnsi"/>
          <w:color w:val="000000" w:themeColor="text1"/>
          <w:lang w:val="en-GB"/>
        </w:rPr>
        <w:t>. London: HM Government.</w:t>
      </w:r>
    </w:p>
    <w:p w14:paraId="3A1DF7C0" w14:textId="77777777" w:rsidR="00314DA8" w:rsidRPr="00E9480B" w:rsidRDefault="00314DA8" w:rsidP="00314DA8">
      <w:pPr>
        <w:spacing w:after="120" w:line="240" w:lineRule="atLeast"/>
        <w:rPr>
          <w:rFonts w:cstheme="minorHAnsi"/>
          <w:color w:val="000000" w:themeColor="text1"/>
          <w:lang w:val="en-GB"/>
        </w:rPr>
      </w:pPr>
      <w:proofErr w:type="spellStart"/>
      <w:r w:rsidRPr="00E9480B">
        <w:rPr>
          <w:rFonts w:ascii="Arial" w:hAnsi="Arial" w:cs="Arial"/>
          <w:color w:val="222222"/>
          <w:sz w:val="20"/>
          <w:szCs w:val="20"/>
          <w:shd w:val="clear" w:color="auto" w:fill="FFFFFF"/>
        </w:rPr>
        <w:t>Leadbeater</w:t>
      </w:r>
      <w:proofErr w:type="spellEnd"/>
      <w:r w:rsidRPr="00E9480B">
        <w:rPr>
          <w:rFonts w:ascii="Arial" w:hAnsi="Arial" w:cs="Arial"/>
          <w:color w:val="222222"/>
          <w:sz w:val="20"/>
          <w:szCs w:val="20"/>
          <w:shd w:val="clear" w:color="auto" w:fill="FFFFFF"/>
        </w:rPr>
        <w:t>, Charles. </w:t>
      </w:r>
      <w:proofErr w:type="spellStart"/>
      <w:r w:rsidRPr="00E9480B">
        <w:rPr>
          <w:rFonts w:ascii="Arial" w:hAnsi="Arial" w:cs="Arial"/>
          <w:i/>
          <w:iCs/>
          <w:color w:val="222222"/>
          <w:sz w:val="20"/>
          <w:szCs w:val="20"/>
          <w:shd w:val="clear" w:color="auto" w:fill="FFFFFF"/>
        </w:rPr>
        <w:t>Personalisation</w:t>
      </w:r>
      <w:proofErr w:type="spellEnd"/>
      <w:r w:rsidRPr="00E9480B">
        <w:rPr>
          <w:rFonts w:ascii="Arial" w:hAnsi="Arial" w:cs="Arial"/>
          <w:i/>
          <w:iCs/>
          <w:color w:val="222222"/>
          <w:sz w:val="20"/>
          <w:szCs w:val="20"/>
          <w:shd w:val="clear" w:color="auto" w:fill="FFFFFF"/>
        </w:rPr>
        <w:t xml:space="preserve"> </w:t>
      </w:r>
      <w:proofErr w:type="spellStart"/>
      <w:r w:rsidRPr="00E9480B">
        <w:rPr>
          <w:rFonts w:ascii="Arial" w:hAnsi="Arial" w:cs="Arial"/>
          <w:i/>
          <w:iCs/>
          <w:color w:val="222222"/>
          <w:sz w:val="20"/>
          <w:szCs w:val="20"/>
          <w:shd w:val="clear" w:color="auto" w:fill="FFFFFF"/>
        </w:rPr>
        <w:t>through</w:t>
      </w:r>
      <w:proofErr w:type="spellEnd"/>
      <w:r w:rsidRPr="00E9480B">
        <w:rPr>
          <w:rFonts w:ascii="Arial" w:hAnsi="Arial" w:cs="Arial"/>
          <w:i/>
          <w:iCs/>
          <w:color w:val="222222"/>
          <w:sz w:val="20"/>
          <w:szCs w:val="20"/>
          <w:shd w:val="clear" w:color="auto" w:fill="FFFFFF"/>
        </w:rPr>
        <w:t xml:space="preserve"> </w:t>
      </w:r>
      <w:proofErr w:type="spellStart"/>
      <w:r w:rsidRPr="00E9480B">
        <w:rPr>
          <w:rFonts w:ascii="Arial" w:hAnsi="Arial" w:cs="Arial"/>
          <w:i/>
          <w:iCs/>
          <w:color w:val="222222"/>
          <w:sz w:val="20"/>
          <w:szCs w:val="20"/>
          <w:shd w:val="clear" w:color="auto" w:fill="FFFFFF"/>
        </w:rPr>
        <w:t>participation</w:t>
      </w:r>
      <w:proofErr w:type="spellEnd"/>
      <w:r w:rsidRPr="00E9480B">
        <w:rPr>
          <w:rFonts w:ascii="Arial" w:hAnsi="Arial" w:cs="Arial"/>
          <w:i/>
          <w:iCs/>
          <w:color w:val="222222"/>
          <w:sz w:val="20"/>
          <w:szCs w:val="20"/>
          <w:shd w:val="clear" w:color="auto" w:fill="FFFFFF"/>
        </w:rPr>
        <w:t>: a new script for public services</w:t>
      </w:r>
      <w:r w:rsidRPr="00E9480B">
        <w:rPr>
          <w:rFonts w:ascii="Arial" w:hAnsi="Arial" w:cs="Arial"/>
          <w:color w:val="222222"/>
          <w:sz w:val="20"/>
          <w:szCs w:val="20"/>
          <w:shd w:val="clear" w:color="auto" w:fill="FFFFFF"/>
        </w:rPr>
        <w:t>. Demos, 2004.</w:t>
      </w:r>
    </w:p>
    <w:p w14:paraId="2AB644C9" w14:textId="77777777" w:rsidR="00314DA8" w:rsidRPr="00E9480B" w:rsidRDefault="00314DA8" w:rsidP="00314DA8">
      <w:pPr>
        <w:widowControl w:val="0"/>
        <w:spacing w:after="120" w:line="240" w:lineRule="atLeast"/>
        <w:jc w:val="both"/>
        <w:rPr>
          <w:rFonts w:cstheme="minorHAnsi"/>
          <w:color w:val="000000" w:themeColor="text1"/>
          <w:lang w:val="en-GB"/>
        </w:rPr>
      </w:pPr>
      <w:r w:rsidRPr="00E9480B">
        <w:rPr>
          <w:rFonts w:cstheme="minorHAnsi"/>
          <w:color w:val="000000" w:themeColor="text1"/>
          <w:lang w:val="en-GB"/>
        </w:rPr>
        <w:t xml:space="preserve">Le Grand, J. (2005) </w:t>
      </w:r>
      <w:r w:rsidRPr="00E9480B">
        <w:rPr>
          <w:rFonts w:cstheme="minorHAnsi"/>
          <w:i/>
          <w:color w:val="000000" w:themeColor="text1"/>
          <w:lang w:val="en-GB"/>
        </w:rPr>
        <w:t>Motivation, Agency and Public Policy: of Knights and Knaves, Pawns and Queens,</w:t>
      </w:r>
      <w:r w:rsidRPr="00E9480B">
        <w:rPr>
          <w:rFonts w:cstheme="minorHAnsi"/>
          <w:color w:val="000000" w:themeColor="text1"/>
          <w:lang w:val="en-GB"/>
        </w:rPr>
        <w:t xml:space="preserve"> Oxford, Oxford University Press. </w:t>
      </w:r>
    </w:p>
    <w:p w14:paraId="2D79AA2A" w14:textId="77777777" w:rsidR="00314DA8" w:rsidRPr="00E9480B" w:rsidRDefault="00314DA8" w:rsidP="00314DA8">
      <w:pPr>
        <w:widowControl w:val="0"/>
        <w:spacing w:after="120" w:line="240" w:lineRule="atLeast"/>
        <w:jc w:val="both"/>
        <w:rPr>
          <w:rFonts w:cstheme="minorHAnsi"/>
          <w:color w:val="000000" w:themeColor="text1"/>
          <w:lang w:val="en-GB"/>
        </w:rPr>
      </w:pPr>
      <w:r w:rsidRPr="00E9480B">
        <w:rPr>
          <w:rFonts w:cstheme="minorHAnsi"/>
          <w:color w:val="000000" w:themeColor="text1"/>
          <w:lang w:val="en-GB"/>
        </w:rPr>
        <w:t xml:space="preserve">Le Grand, J. (2007) </w:t>
      </w:r>
      <w:r w:rsidRPr="00E9480B">
        <w:rPr>
          <w:rFonts w:cstheme="minorHAnsi"/>
          <w:i/>
          <w:color w:val="000000" w:themeColor="text1"/>
          <w:lang w:val="en-GB"/>
        </w:rPr>
        <w:t>The Other Invisible Hand: Delivering Public Services through Choice and Competition</w:t>
      </w:r>
      <w:r w:rsidRPr="00E9480B">
        <w:rPr>
          <w:rFonts w:cstheme="minorHAnsi"/>
          <w:color w:val="000000" w:themeColor="text1"/>
          <w:lang w:val="en-GB"/>
        </w:rPr>
        <w:t xml:space="preserve">, Oxford, Princeton University press. </w:t>
      </w:r>
    </w:p>
    <w:p w14:paraId="2F81CA40" w14:textId="77777777" w:rsidR="00314DA8" w:rsidRPr="00E9480B" w:rsidRDefault="00314DA8" w:rsidP="00314DA8">
      <w:pPr>
        <w:widowControl w:val="0"/>
        <w:spacing w:after="120" w:line="240" w:lineRule="atLeast"/>
        <w:jc w:val="both"/>
        <w:rPr>
          <w:rFonts w:cstheme="minorHAnsi"/>
          <w:color w:val="000000" w:themeColor="text1"/>
          <w:lang w:val="en-GB"/>
        </w:rPr>
      </w:pPr>
      <w:proofErr w:type="spellStart"/>
      <w:r w:rsidRPr="00E9480B">
        <w:rPr>
          <w:rFonts w:cstheme="minorHAnsi"/>
          <w:color w:val="000000" w:themeColor="text1"/>
          <w:lang w:val="en-GB"/>
        </w:rPr>
        <w:t>Legge</w:t>
      </w:r>
      <w:proofErr w:type="spellEnd"/>
      <w:r w:rsidRPr="00E9480B">
        <w:rPr>
          <w:rFonts w:cstheme="minorHAnsi"/>
          <w:color w:val="000000" w:themeColor="text1"/>
          <w:lang w:val="en-GB"/>
        </w:rPr>
        <w:t xml:space="preserve"> 8 </w:t>
      </w:r>
      <w:proofErr w:type="spellStart"/>
      <w:r w:rsidRPr="00E9480B">
        <w:rPr>
          <w:rFonts w:cstheme="minorHAnsi"/>
          <w:color w:val="000000" w:themeColor="text1"/>
          <w:lang w:val="en-GB"/>
        </w:rPr>
        <w:t>novembre</w:t>
      </w:r>
      <w:proofErr w:type="spellEnd"/>
      <w:r w:rsidRPr="00E9480B">
        <w:rPr>
          <w:rFonts w:cstheme="minorHAnsi"/>
          <w:color w:val="000000" w:themeColor="text1"/>
          <w:lang w:val="en-GB"/>
        </w:rPr>
        <w:t xml:space="preserve"> 2000, n. 328, </w:t>
      </w:r>
      <w:proofErr w:type="spellStart"/>
      <w:r w:rsidRPr="00E9480B">
        <w:rPr>
          <w:rFonts w:cstheme="minorHAnsi"/>
          <w:color w:val="000000" w:themeColor="text1"/>
          <w:lang w:val="en-GB"/>
        </w:rPr>
        <w:t>Legge</w:t>
      </w:r>
      <w:proofErr w:type="spellEnd"/>
      <w:r w:rsidRPr="00E9480B">
        <w:rPr>
          <w:rFonts w:cstheme="minorHAnsi"/>
          <w:color w:val="000000" w:themeColor="text1"/>
          <w:lang w:val="en-GB"/>
        </w:rPr>
        <w:t xml:space="preserve"> </w:t>
      </w:r>
      <w:proofErr w:type="spellStart"/>
      <w:r w:rsidRPr="00E9480B">
        <w:rPr>
          <w:rFonts w:cstheme="minorHAnsi"/>
          <w:color w:val="000000" w:themeColor="text1"/>
          <w:lang w:val="en-GB"/>
        </w:rPr>
        <w:t>quadro</w:t>
      </w:r>
      <w:proofErr w:type="spellEnd"/>
      <w:r w:rsidRPr="00E9480B">
        <w:rPr>
          <w:rFonts w:cstheme="minorHAnsi"/>
          <w:color w:val="000000" w:themeColor="text1"/>
          <w:lang w:val="en-GB"/>
        </w:rPr>
        <w:t xml:space="preserve"> per la </w:t>
      </w:r>
      <w:proofErr w:type="spellStart"/>
      <w:r w:rsidRPr="00E9480B">
        <w:rPr>
          <w:rFonts w:cstheme="minorHAnsi"/>
          <w:color w:val="000000" w:themeColor="text1"/>
          <w:lang w:val="en-GB"/>
        </w:rPr>
        <w:t>realizzazione</w:t>
      </w:r>
      <w:proofErr w:type="spellEnd"/>
      <w:r w:rsidRPr="00E9480B">
        <w:rPr>
          <w:rFonts w:cstheme="minorHAnsi"/>
          <w:color w:val="000000" w:themeColor="text1"/>
          <w:lang w:val="en-GB"/>
        </w:rPr>
        <w:t xml:space="preserve"> del </w:t>
      </w:r>
      <w:proofErr w:type="spellStart"/>
      <w:r w:rsidRPr="00E9480B">
        <w:rPr>
          <w:rFonts w:cstheme="minorHAnsi"/>
          <w:color w:val="000000" w:themeColor="text1"/>
          <w:lang w:val="en-GB"/>
        </w:rPr>
        <w:t>sistema</w:t>
      </w:r>
      <w:proofErr w:type="spellEnd"/>
      <w:r w:rsidRPr="00E9480B">
        <w:rPr>
          <w:rFonts w:cstheme="minorHAnsi"/>
          <w:color w:val="000000" w:themeColor="text1"/>
          <w:lang w:val="en-GB"/>
        </w:rPr>
        <w:t xml:space="preserve"> </w:t>
      </w:r>
      <w:proofErr w:type="spellStart"/>
      <w:r w:rsidRPr="00E9480B">
        <w:rPr>
          <w:rFonts w:cstheme="minorHAnsi"/>
          <w:color w:val="000000" w:themeColor="text1"/>
          <w:lang w:val="en-GB"/>
        </w:rPr>
        <w:t>integrato</w:t>
      </w:r>
      <w:proofErr w:type="spellEnd"/>
      <w:r w:rsidRPr="00E9480B">
        <w:rPr>
          <w:rFonts w:cstheme="minorHAnsi"/>
          <w:color w:val="000000" w:themeColor="text1"/>
          <w:lang w:val="en-GB"/>
        </w:rPr>
        <w:t xml:space="preserve"> di </w:t>
      </w:r>
      <w:proofErr w:type="spellStart"/>
      <w:r w:rsidRPr="00E9480B">
        <w:rPr>
          <w:rFonts w:cstheme="minorHAnsi"/>
          <w:color w:val="000000" w:themeColor="text1"/>
          <w:lang w:val="en-GB"/>
        </w:rPr>
        <w:t>interventi</w:t>
      </w:r>
      <w:proofErr w:type="spellEnd"/>
      <w:r w:rsidRPr="00E9480B">
        <w:rPr>
          <w:rFonts w:cstheme="minorHAnsi"/>
          <w:color w:val="000000" w:themeColor="text1"/>
          <w:lang w:val="en-GB"/>
        </w:rPr>
        <w:t xml:space="preserve"> e </w:t>
      </w:r>
      <w:proofErr w:type="spellStart"/>
      <w:r w:rsidRPr="00E9480B">
        <w:rPr>
          <w:rFonts w:cstheme="minorHAnsi"/>
          <w:color w:val="000000" w:themeColor="text1"/>
          <w:lang w:val="en-GB"/>
        </w:rPr>
        <w:t>servizi</w:t>
      </w:r>
      <w:proofErr w:type="spellEnd"/>
      <w:r w:rsidRPr="00E9480B">
        <w:rPr>
          <w:rFonts w:cstheme="minorHAnsi"/>
          <w:color w:val="000000" w:themeColor="text1"/>
          <w:lang w:val="en-GB"/>
        </w:rPr>
        <w:t xml:space="preserve"> </w:t>
      </w:r>
      <w:proofErr w:type="spellStart"/>
      <w:r w:rsidRPr="00E9480B">
        <w:rPr>
          <w:rFonts w:cstheme="minorHAnsi"/>
          <w:color w:val="000000" w:themeColor="text1"/>
          <w:lang w:val="en-GB"/>
        </w:rPr>
        <w:t>sociali</w:t>
      </w:r>
      <w:proofErr w:type="spellEnd"/>
      <w:r w:rsidRPr="00E9480B">
        <w:rPr>
          <w:rFonts w:cstheme="minorHAnsi"/>
          <w:color w:val="000000" w:themeColor="text1"/>
          <w:lang w:val="en-GB"/>
        </w:rPr>
        <w:t xml:space="preserve">. </w:t>
      </w:r>
    </w:p>
    <w:p w14:paraId="2138CD8C" w14:textId="77777777" w:rsidR="00314DA8" w:rsidRPr="00E9480B" w:rsidRDefault="00314DA8" w:rsidP="00314DA8">
      <w:pPr>
        <w:autoSpaceDE w:val="0"/>
        <w:autoSpaceDN w:val="0"/>
        <w:adjustRightInd w:val="0"/>
        <w:spacing w:after="120" w:line="240" w:lineRule="atLeast"/>
        <w:rPr>
          <w:rFonts w:cstheme="minorHAnsi"/>
          <w:color w:val="000000" w:themeColor="text1"/>
          <w:lang w:val="en-GB"/>
        </w:rPr>
      </w:pPr>
      <w:r w:rsidRPr="00E9480B">
        <w:rPr>
          <w:rFonts w:cstheme="minorHAnsi"/>
          <w:color w:val="000000" w:themeColor="text1"/>
          <w:lang w:val="en-GB"/>
        </w:rPr>
        <w:t xml:space="preserve">Lipsky, M. (1976) “Towards a Theory of Street Level Bureaucracy” in Hawley, W.D. and Lipsky, M. </w:t>
      </w:r>
      <w:r w:rsidRPr="00E9480B">
        <w:rPr>
          <w:rFonts w:cstheme="minorHAnsi"/>
          <w:i/>
          <w:color w:val="000000" w:themeColor="text1"/>
          <w:lang w:val="en-GB"/>
        </w:rPr>
        <w:t>Theoretical Perspective on Urban Politics</w:t>
      </w:r>
      <w:r w:rsidRPr="00E9480B">
        <w:rPr>
          <w:rFonts w:cstheme="minorHAnsi"/>
          <w:color w:val="000000" w:themeColor="text1"/>
          <w:lang w:val="en-GB"/>
        </w:rPr>
        <w:t xml:space="preserve">, Englewood Cliffs (NJ), Prentice Hall Inc. </w:t>
      </w:r>
    </w:p>
    <w:p w14:paraId="1B32349A" w14:textId="77777777" w:rsidR="00314DA8" w:rsidRPr="00E9480B" w:rsidRDefault="00314DA8" w:rsidP="00314DA8">
      <w:pPr>
        <w:autoSpaceDE w:val="0"/>
        <w:autoSpaceDN w:val="0"/>
        <w:adjustRightInd w:val="0"/>
        <w:spacing w:after="120" w:line="240" w:lineRule="atLeast"/>
        <w:rPr>
          <w:rFonts w:cstheme="minorHAnsi"/>
          <w:color w:val="000000" w:themeColor="text1"/>
          <w:lang w:val="en-GB"/>
        </w:rPr>
      </w:pPr>
      <w:r w:rsidRPr="00E9480B">
        <w:rPr>
          <w:rFonts w:cstheme="minorHAnsi"/>
          <w:color w:val="000000" w:themeColor="text1"/>
          <w:lang w:val="en-GB"/>
        </w:rPr>
        <w:t xml:space="preserve">Lipsky, M. (1980) </w:t>
      </w:r>
      <w:r w:rsidRPr="00E9480B">
        <w:rPr>
          <w:rFonts w:cstheme="minorHAnsi"/>
          <w:i/>
          <w:color w:val="000000" w:themeColor="text1"/>
          <w:lang w:val="en-GB"/>
        </w:rPr>
        <w:t>Street-level Bureaucracy. Dilemma of the Individual in Public Services</w:t>
      </w:r>
      <w:r w:rsidRPr="00E9480B">
        <w:rPr>
          <w:rFonts w:cstheme="minorHAnsi"/>
          <w:color w:val="000000" w:themeColor="text1"/>
          <w:lang w:val="en-GB"/>
        </w:rPr>
        <w:t xml:space="preserve">, New York, Russel Sage Foundation. </w:t>
      </w:r>
    </w:p>
    <w:p w14:paraId="7018A905" w14:textId="77777777" w:rsidR="00314DA8" w:rsidRPr="00E9480B" w:rsidRDefault="00314DA8" w:rsidP="00314DA8">
      <w:pPr>
        <w:widowControl w:val="0"/>
        <w:spacing w:after="120" w:line="240" w:lineRule="atLeast"/>
        <w:jc w:val="both"/>
        <w:rPr>
          <w:rFonts w:cstheme="minorHAnsi"/>
          <w:color w:val="000000" w:themeColor="text1"/>
          <w:lang w:val="en-GB"/>
        </w:rPr>
      </w:pPr>
      <w:r w:rsidRPr="00E9480B">
        <w:rPr>
          <w:rFonts w:cstheme="minorHAnsi"/>
          <w:color w:val="000000" w:themeColor="text1"/>
          <w:lang w:val="en-GB"/>
        </w:rPr>
        <w:t xml:space="preserve">Lister, R. (2010) </w:t>
      </w:r>
      <w:r w:rsidRPr="00E9480B">
        <w:rPr>
          <w:rFonts w:cstheme="minorHAnsi"/>
          <w:i/>
          <w:iCs/>
          <w:color w:val="000000" w:themeColor="text1"/>
          <w:lang w:val="en-GB"/>
        </w:rPr>
        <w:t>Understanding Theories and Concepts in Social Policy</w:t>
      </w:r>
      <w:r w:rsidRPr="00E9480B">
        <w:rPr>
          <w:rFonts w:cstheme="minorHAnsi"/>
          <w:color w:val="000000" w:themeColor="text1"/>
          <w:lang w:val="en-GB"/>
        </w:rPr>
        <w:t xml:space="preserve">, Bristol, Policy Press. </w:t>
      </w:r>
    </w:p>
    <w:p w14:paraId="7D19240B" w14:textId="77777777" w:rsidR="00314DA8" w:rsidRPr="00E9480B" w:rsidRDefault="00314DA8" w:rsidP="00314DA8">
      <w:pPr>
        <w:spacing w:after="120" w:line="240" w:lineRule="atLeast"/>
        <w:jc w:val="both"/>
        <w:rPr>
          <w:rFonts w:cstheme="minorHAnsi"/>
          <w:color w:val="000000" w:themeColor="text1"/>
          <w:shd w:val="clear" w:color="auto" w:fill="FFFFFF"/>
          <w:lang w:val="en-GB"/>
        </w:rPr>
      </w:pPr>
      <w:r w:rsidRPr="00E9480B">
        <w:rPr>
          <w:rFonts w:cstheme="minorHAnsi"/>
          <w:color w:val="000000" w:themeColor="text1"/>
          <w:shd w:val="clear" w:color="auto" w:fill="FFFFFF"/>
          <w:lang w:val="en-GB"/>
        </w:rPr>
        <w:lastRenderedPageBreak/>
        <w:t xml:space="preserve">Marotta, R. (2010), </w:t>
      </w:r>
      <w:proofErr w:type="spellStart"/>
      <w:r w:rsidRPr="00E9480B">
        <w:rPr>
          <w:rFonts w:cstheme="minorHAnsi"/>
          <w:i/>
          <w:color w:val="000000" w:themeColor="text1"/>
          <w:shd w:val="clear" w:color="auto" w:fill="FFFFFF"/>
          <w:lang w:val="en-GB"/>
        </w:rPr>
        <w:t>Gli</w:t>
      </w:r>
      <w:proofErr w:type="spellEnd"/>
      <w:r w:rsidRPr="00E9480B">
        <w:rPr>
          <w:rFonts w:cstheme="minorHAnsi"/>
          <w:i/>
          <w:color w:val="000000" w:themeColor="text1"/>
          <w:shd w:val="clear" w:color="auto" w:fill="FFFFFF"/>
          <w:lang w:val="en-GB"/>
        </w:rPr>
        <w:t xml:space="preserve"> </w:t>
      </w:r>
      <w:proofErr w:type="spellStart"/>
      <w:r w:rsidRPr="00E9480B">
        <w:rPr>
          <w:rFonts w:cstheme="minorHAnsi"/>
          <w:i/>
          <w:color w:val="000000" w:themeColor="text1"/>
          <w:shd w:val="clear" w:color="auto" w:fill="FFFFFF"/>
          <w:lang w:val="en-GB"/>
        </w:rPr>
        <w:t>obiettivi</w:t>
      </w:r>
      <w:proofErr w:type="spellEnd"/>
      <w:r w:rsidRPr="00E9480B">
        <w:rPr>
          <w:rFonts w:cstheme="minorHAnsi"/>
          <w:i/>
          <w:color w:val="000000" w:themeColor="text1"/>
          <w:shd w:val="clear" w:color="auto" w:fill="FFFFFF"/>
          <w:lang w:val="en-GB"/>
        </w:rPr>
        <w:t xml:space="preserve"> </w:t>
      </w:r>
      <w:proofErr w:type="spellStart"/>
      <w:r w:rsidRPr="00E9480B">
        <w:rPr>
          <w:rFonts w:cstheme="minorHAnsi"/>
          <w:i/>
          <w:color w:val="000000" w:themeColor="text1"/>
          <w:shd w:val="clear" w:color="auto" w:fill="FFFFFF"/>
          <w:lang w:val="en-GB"/>
        </w:rPr>
        <w:t>della</w:t>
      </w:r>
      <w:proofErr w:type="spellEnd"/>
      <w:r w:rsidRPr="00E9480B">
        <w:rPr>
          <w:rFonts w:cstheme="minorHAnsi"/>
          <w:i/>
          <w:color w:val="000000" w:themeColor="text1"/>
          <w:shd w:val="clear" w:color="auto" w:fill="FFFFFF"/>
          <w:lang w:val="en-GB"/>
        </w:rPr>
        <w:t xml:space="preserve"> </w:t>
      </w:r>
      <w:proofErr w:type="spellStart"/>
      <w:r w:rsidRPr="00E9480B">
        <w:rPr>
          <w:rFonts w:cstheme="minorHAnsi"/>
          <w:i/>
          <w:color w:val="000000" w:themeColor="text1"/>
          <w:shd w:val="clear" w:color="auto" w:fill="FFFFFF"/>
          <w:lang w:val="en-GB"/>
        </w:rPr>
        <w:t>regione</w:t>
      </w:r>
      <w:proofErr w:type="spellEnd"/>
      <w:r w:rsidRPr="00E9480B">
        <w:rPr>
          <w:rFonts w:cstheme="minorHAnsi"/>
          <w:color w:val="000000" w:themeColor="text1"/>
          <w:shd w:val="clear" w:color="auto" w:fill="FFFFFF"/>
          <w:lang w:val="en-GB"/>
        </w:rPr>
        <w:t>, in Gori, C. (Ed.), </w:t>
      </w:r>
      <w:r w:rsidRPr="00E9480B">
        <w:rPr>
          <w:rFonts w:cstheme="minorHAnsi"/>
          <w:i/>
          <w:iCs/>
          <w:color w:val="000000" w:themeColor="text1"/>
          <w:shd w:val="clear" w:color="auto" w:fill="FFFFFF"/>
          <w:lang w:val="en-GB"/>
        </w:rPr>
        <w:t xml:space="preserve">Come cambia </w:t>
      </w:r>
      <w:proofErr w:type="spellStart"/>
      <w:r w:rsidRPr="00E9480B">
        <w:rPr>
          <w:rFonts w:cstheme="minorHAnsi"/>
          <w:i/>
          <w:iCs/>
          <w:color w:val="000000" w:themeColor="text1"/>
          <w:shd w:val="clear" w:color="auto" w:fill="FFFFFF"/>
          <w:lang w:val="en-GB"/>
        </w:rPr>
        <w:t>il</w:t>
      </w:r>
      <w:proofErr w:type="spellEnd"/>
      <w:r w:rsidRPr="00E9480B">
        <w:rPr>
          <w:rFonts w:cstheme="minorHAnsi"/>
          <w:i/>
          <w:iCs/>
          <w:color w:val="000000" w:themeColor="text1"/>
          <w:shd w:val="clear" w:color="auto" w:fill="FFFFFF"/>
          <w:lang w:val="en-GB"/>
        </w:rPr>
        <w:t xml:space="preserve"> welfare </w:t>
      </w:r>
      <w:proofErr w:type="spellStart"/>
      <w:r w:rsidRPr="00E9480B">
        <w:rPr>
          <w:rFonts w:cstheme="minorHAnsi"/>
          <w:i/>
          <w:iCs/>
          <w:color w:val="000000" w:themeColor="text1"/>
          <w:shd w:val="clear" w:color="auto" w:fill="FFFFFF"/>
          <w:lang w:val="en-GB"/>
        </w:rPr>
        <w:t>lombardo</w:t>
      </w:r>
      <w:proofErr w:type="spellEnd"/>
      <w:r w:rsidRPr="00E9480B">
        <w:rPr>
          <w:rFonts w:cstheme="minorHAnsi"/>
          <w:i/>
          <w:iCs/>
          <w:color w:val="000000" w:themeColor="text1"/>
          <w:shd w:val="clear" w:color="auto" w:fill="FFFFFF"/>
          <w:lang w:val="en-GB"/>
        </w:rPr>
        <w:t xml:space="preserve">: Una </w:t>
      </w:r>
      <w:proofErr w:type="spellStart"/>
      <w:r w:rsidRPr="00E9480B">
        <w:rPr>
          <w:rFonts w:cstheme="minorHAnsi"/>
          <w:i/>
          <w:iCs/>
          <w:color w:val="000000" w:themeColor="text1"/>
          <w:shd w:val="clear" w:color="auto" w:fill="FFFFFF"/>
          <w:lang w:val="en-GB"/>
        </w:rPr>
        <w:t>valutazione</w:t>
      </w:r>
      <w:proofErr w:type="spellEnd"/>
      <w:r w:rsidRPr="00E9480B">
        <w:rPr>
          <w:rFonts w:cstheme="minorHAnsi"/>
          <w:i/>
          <w:iCs/>
          <w:color w:val="000000" w:themeColor="text1"/>
          <w:shd w:val="clear" w:color="auto" w:fill="FFFFFF"/>
          <w:lang w:val="en-GB"/>
        </w:rPr>
        <w:t xml:space="preserve"> </w:t>
      </w:r>
      <w:proofErr w:type="spellStart"/>
      <w:r w:rsidRPr="00E9480B">
        <w:rPr>
          <w:rFonts w:cstheme="minorHAnsi"/>
          <w:i/>
          <w:iCs/>
          <w:color w:val="000000" w:themeColor="text1"/>
          <w:shd w:val="clear" w:color="auto" w:fill="FFFFFF"/>
          <w:lang w:val="en-GB"/>
        </w:rPr>
        <w:t>delle</w:t>
      </w:r>
      <w:proofErr w:type="spellEnd"/>
      <w:r w:rsidRPr="00E9480B">
        <w:rPr>
          <w:rFonts w:cstheme="minorHAnsi"/>
          <w:i/>
          <w:iCs/>
          <w:color w:val="000000" w:themeColor="text1"/>
          <w:shd w:val="clear" w:color="auto" w:fill="FFFFFF"/>
          <w:lang w:val="en-GB"/>
        </w:rPr>
        <w:t xml:space="preserve"> </w:t>
      </w:r>
      <w:proofErr w:type="spellStart"/>
      <w:r w:rsidRPr="00E9480B">
        <w:rPr>
          <w:rFonts w:cstheme="minorHAnsi"/>
          <w:i/>
          <w:iCs/>
          <w:color w:val="000000" w:themeColor="text1"/>
          <w:shd w:val="clear" w:color="auto" w:fill="FFFFFF"/>
          <w:lang w:val="en-GB"/>
        </w:rPr>
        <w:t>politiche</w:t>
      </w:r>
      <w:proofErr w:type="spellEnd"/>
      <w:r w:rsidRPr="00E9480B">
        <w:rPr>
          <w:rFonts w:cstheme="minorHAnsi"/>
          <w:i/>
          <w:iCs/>
          <w:color w:val="000000" w:themeColor="text1"/>
          <w:shd w:val="clear" w:color="auto" w:fill="FFFFFF"/>
          <w:lang w:val="en-GB"/>
        </w:rPr>
        <w:t xml:space="preserve"> </w:t>
      </w:r>
      <w:proofErr w:type="spellStart"/>
      <w:r w:rsidRPr="00E9480B">
        <w:rPr>
          <w:rFonts w:cstheme="minorHAnsi"/>
          <w:i/>
          <w:iCs/>
          <w:color w:val="000000" w:themeColor="text1"/>
          <w:shd w:val="clear" w:color="auto" w:fill="FFFFFF"/>
          <w:lang w:val="en-GB"/>
        </w:rPr>
        <w:t>regionali</w:t>
      </w:r>
      <w:proofErr w:type="spellEnd"/>
      <w:r w:rsidRPr="00E9480B">
        <w:rPr>
          <w:rFonts w:cstheme="minorHAnsi"/>
          <w:i/>
          <w:iCs/>
          <w:color w:val="000000" w:themeColor="text1"/>
          <w:shd w:val="clear" w:color="auto" w:fill="FFFFFF"/>
          <w:lang w:val="en-GB"/>
        </w:rPr>
        <w:t>,</w:t>
      </w:r>
      <w:r w:rsidRPr="00E9480B">
        <w:rPr>
          <w:rFonts w:cstheme="minorHAnsi"/>
          <w:color w:val="000000" w:themeColor="text1"/>
          <w:shd w:val="clear" w:color="auto" w:fill="FFFFFF"/>
          <w:lang w:val="en-GB"/>
        </w:rPr>
        <w:t xml:space="preserve"> </w:t>
      </w:r>
      <w:proofErr w:type="spellStart"/>
      <w:r w:rsidRPr="00E9480B">
        <w:rPr>
          <w:rFonts w:cstheme="minorHAnsi"/>
          <w:color w:val="000000" w:themeColor="text1"/>
          <w:shd w:val="clear" w:color="auto" w:fill="FFFFFF"/>
          <w:lang w:val="en-GB"/>
        </w:rPr>
        <w:t>Maggioli</w:t>
      </w:r>
      <w:proofErr w:type="spellEnd"/>
      <w:r w:rsidRPr="00E9480B">
        <w:rPr>
          <w:rFonts w:cstheme="minorHAnsi"/>
          <w:color w:val="000000" w:themeColor="text1"/>
          <w:shd w:val="clear" w:color="auto" w:fill="FFFFFF"/>
          <w:lang w:val="en-GB"/>
        </w:rPr>
        <w:t>, Bologna.</w:t>
      </w:r>
    </w:p>
    <w:p w14:paraId="4888A452" w14:textId="77777777" w:rsidR="00314DA8" w:rsidRPr="00E9480B" w:rsidRDefault="00314DA8" w:rsidP="00314DA8">
      <w:pPr>
        <w:spacing w:after="120" w:line="240" w:lineRule="atLeast"/>
        <w:rPr>
          <w:rFonts w:cstheme="minorHAnsi"/>
          <w:color w:val="000000" w:themeColor="text1"/>
          <w:lang w:val="en-US"/>
        </w:rPr>
      </w:pPr>
      <w:proofErr w:type="spellStart"/>
      <w:r w:rsidRPr="00E9480B">
        <w:rPr>
          <w:rFonts w:eastAsia="Times New Roman" w:cstheme="minorHAnsi"/>
          <w:color w:val="000000" w:themeColor="text1"/>
          <w:lang w:val="en-GB" w:eastAsia="en-GB"/>
        </w:rPr>
        <w:t>Montaleone</w:t>
      </w:r>
      <w:proofErr w:type="spellEnd"/>
      <w:r w:rsidRPr="00E9480B">
        <w:rPr>
          <w:rFonts w:eastAsia="Times New Roman" w:cstheme="minorHAnsi"/>
          <w:color w:val="000000" w:themeColor="text1"/>
          <w:lang w:val="en-GB" w:eastAsia="en-GB"/>
        </w:rPr>
        <w:t xml:space="preserve">, R. (2005) “La </w:t>
      </w:r>
      <w:proofErr w:type="spellStart"/>
      <w:r w:rsidRPr="00E9480B">
        <w:rPr>
          <w:rFonts w:eastAsia="Times New Roman" w:cstheme="minorHAnsi"/>
          <w:color w:val="000000" w:themeColor="text1"/>
          <w:lang w:val="en-GB" w:eastAsia="en-GB"/>
        </w:rPr>
        <w:t>contrattualizzazione</w:t>
      </w:r>
      <w:proofErr w:type="spellEnd"/>
      <w:r w:rsidRPr="00E9480B">
        <w:rPr>
          <w:rFonts w:eastAsia="Times New Roman" w:cstheme="minorHAnsi"/>
          <w:color w:val="000000" w:themeColor="text1"/>
          <w:lang w:val="en-GB" w:eastAsia="en-GB"/>
        </w:rPr>
        <w:t xml:space="preserve"> </w:t>
      </w:r>
      <w:proofErr w:type="spellStart"/>
      <w:r w:rsidRPr="00E9480B">
        <w:rPr>
          <w:rFonts w:eastAsia="Times New Roman" w:cstheme="minorHAnsi"/>
          <w:color w:val="000000" w:themeColor="text1"/>
          <w:lang w:val="en-GB" w:eastAsia="en-GB"/>
        </w:rPr>
        <w:t>nelle</w:t>
      </w:r>
      <w:proofErr w:type="spellEnd"/>
      <w:r w:rsidRPr="00E9480B">
        <w:rPr>
          <w:rFonts w:eastAsia="Times New Roman" w:cstheme="minorHAnsi"/>
          <w:color w:val="000000" w:themeColor="text1"/>
          <w:lang w:val="en-GB" w:eastAsia="en-GB"/>
        </w:rPr>
        <w:t xml:space="preserve"> </w:t>
      </w:r>
      <w:proofErr w:type="spellStart"/>
      <w:r w:rsidRPr="00E9480B">
        <w:rPr>
          <w:rFonts w:eastAsia="Times New Roman" w:cstheme="minorHAnsi"/>
          <w:color w:val="000000" w:themeColor="text1"/>
          <w:lang w:val="en-GB" w:eastAsia="en-GB"/>
        </w:rPr>
        <w:t>politiche</w:t>
      </w:r>
      <w:proofErr w:type="spellEnd"/>
      <w:r w:rsidRPr="00E9480B">
        <w:rPr>
          <w:rFonts w:eastAsia="Times New Roman" w:cstheme="minorHAnsi"/>
          <w:color w:val="000000" w:themeColor="text1"/>
          <w:lang w:val="en-GB" w:eastAsia="en-GB"/>
        </w:rPr>
        <w:t xml:space="preserve"> socio-</w:t>
      </w:r>
      <w:proofErr w:type="spellStart"/>
      <w:r w:rsidRPr="00E9480B">
        <w:rPr>
          <w:rFonts w:eastAsia="Times New Roman" w:cstheme="minorHAnsi"/>
          <w:color w:val="000000" w:themeColor="text1"/>
          <w:lang w:val="en-GB" w:eastAsia="en-GB"/>
        </w:rPr>
        <w:t>sanitarie</w:t>
      </w:r>
      <w:proofErr w:type="spellEnd"/>
      <w:r w:rsidRPr="00E9480B">
        <w:rPr>
          <w:rFonts w:eastAsia="Times New Roman" w:cstheme="minorHAnsi"/>
          <w:color w:val="000000" w:themeColor="text1"/>
          <w:lang w:val="en-GB" w:eastAsia="en-GB"/>
        </w:rPr>
        <w:t xml:space="preserve">: </w:t>
      </w:r>
      <w:proofErr w:type="spellStart"/>
      <w:r w:rsidRPr="00E9480B">
        <w:rPr>
          <w:rFonts w:eastAsia="Times New Roman" w:cstheme="minorHAnsi"/>
          <w:color w:val="000000" w:themeColor="text1"/>
          <w:lang w:val="en-GB" w:eastAsia="en-GB"/>
        </w:rPr>
        <w:t>il</w:t>
      </w:r>
      <w:proofErr w:type="spellEnd"/>
      <w:r w:rsidRPr="00E9480B">
        <w:rPr>
          <w:rFonts w:eastAsia="Times New Roman" w:cstheme="minorHAnsi"/>
          <w:color w:val="000000" w:themeColor="text1"/>
          <w:lang w:val="en-GB" w:eastAsia="en-GB"/>
        </w:rPr>
        <w:t xml:space="preserve"> </w:t>
      </w:r>
      <w:proofErr w:type="spellStart"/>
      <w:r w:rsidRPr="00E9480B">
        <w:rPr>
          <w:rFonts w:eastAsia="Times New Roman" w:cstheme="minorHAnsi"/>
          <w:color w:val="000000" w:themeColor="text1"/>
          <w:lang w:val="en-GB" w:eastAsia="en-GB"/>
        </w:rPr>
        <w:t>caso</w:t>
      </w:r>
      <w:proofErr w:type="spellEnd"/>
      <w:r w:rsidRPr="00E9480B">
        <w:rPr>
          <w:rFonts w:eastAsia="Times New Roman" w:cstheme="minorHAnsi"/>
          <w:color w:val="000000" w:themeColor="text1"/>
          <w:lang w:val="en-GB" w:eastAsia="en-GB"/>
        </w:rPr>
        <w:t xml:space="preserve"> </w:t>
      </w:r>
      <w:proofErr w:type="spellStart"/>
      <w:r w:rsidRPr="00E9480B">
        <w:rPr>
          <w:rFonts w:eastAsia="Times New Roman" w:cstheme="minorHAnsi"/>
          <w:color w:val="000000" w:themeColor="text1"/>
          <w:lang w:val="en-GB" w:eastAsia="en-GB"/>
        </w:rPr>
        <w:t>dei</w:t>
      </w:r>
      <w:proofErr w:type="spellEnd"/>
      <w:r w:rsidRPr="00E9480B">
        <w:rPr>
          <w:rFonts w:eastAsia="Times New Roman" w:cstheme="minorHAnsi"/>
          <w:color w:val="000000" w:themeColor="text1"/>
          <w:lang w:val="en-GB" w:eastAsia="en-GB"/>
        </w:rPr>
        <w:t xml:space="preserve"> voucher e </w:t>
      </w:r>
      <w:proofErr w:type="spellStart"/>
      <w:r w:rsidRPr="00E9480B">
        <w:rPr>
          <w:rFonts w:eastAsia="Times New Roman" w:cstheme="minorHAnsi"/>
          <w:color w:val="000000" w:themeColor="text1"/>
          <w:lang w:val="en-GB" w:eastAsia="en-GB"/>
        </w:rPr>
        <w:t>dei</w:t>
      </w:r>
      <w:proofErr w:type="spellEnd"/>
      <w:r w:rsidRPr="00E9480B">
        <w:rPr>
          <w:rFonts w:eastAsia="Times New Roman" w:cstheme="minorHAnsi"/>
          <w:color w:val="000000" w:themeColor="text1"/>
          <w:lang w:val="en-GB" w:eastAsia="en-GB"/>
        </w:rPr>
        <w:t xml:space="preserve"> budget </w:t>
      </w:r>
      <w:proofErr w:type="spellStart"/>
      <w:r w:rsidRPr="00E9480B">
        <w:rPr>
          <w:rFonts w:eastAsia="Times New Roman" w:cstheme="minorHAnsi"/>
          <w:color w:val="000000" w:themeColor="text1"/>
          <w:lang w:val="en-GB" w:eastAsia="en-GB"/>
        </w:rPr>
        <w:t>si</w:t>
      </w:r>
      <w:proofErr w:type="spellEnd"/>
      <w:r w:rsidRPr="00E9480B">
        <w:rPr>
          <w:rFonts w:eastAsia="Times New Roman" w:cstheme="minorHAnsi"/>
          <w:color w:val="000000" w:themeColor="text1"/>
          <w:lang w:val="en-GB" w:eastAsia="en-GB"/>
        </w:rPr>
        <w:t xml:space="preserve"> </w:t>
      </w:r>
      <w:proofErr w:type="spellStart"/>
      <w:r w:rsidRPr="00E9480B">
        <w:rPr>
          <w:rFonts w:eastAsia="Times New Roman" w:cstheme="minorHAnsi"/>
          <w:color w:val="000000" w:themeColor="text1"/>
          <w:lang w:val="en-GB" w:eastAsia="en-GB"/>
        </w:rPr>
        <w:t>cura</w:t>
      </w:r>
      <w:proofErr w:type="spellEnd"/>
      <w:r w:rsidRPr="00E9480B">
        <w:rPr>
          <w:rFonts w:eastAsia="Times New Roman" w:cstheme="minorHAnsi"/>
          <w:color w:val="000000" w:themeColor="text1"/>
          <w:lang w:val="en-GB" w:eastAsia="en-GB"/>
        </w:rPr>
        <w:t xml:space="preserve">” in </w:t>
      </w:r>
      <w:proofErr w:type="spellStart"/>
      <w:r w:rsidRPr="00E9480B">
        <w:rPr>
          <w:rFonts w:eastAsia="Times New Roman" w:cstheme="minorHAnsi"/>
          <w:color w:val="000000" w:themeColor="text1"/>
          <w:lang w:val="en-GB" w:eastAsia="en-GB"/>
        </w:rPr>
        <w:t>Bifulco</w:t>
      </w:r>
      <w:proofErr w:type="spellEnd"/>
      <w:r w:rsidRPr="00E9480B">
        <w:rPr>
          <w:rFonts w:eastAsia="Times New Roman" w:cstheme="minorHAnsi"/>
          <w:color w:val="000000" w:themeColor="text1"/>
          <w:lang w:val="en-GB" w:eastAsia="en-GB"/>
        </w:rPr>
        <w:t xml:space="preserve">, L. </w:t>
      </w:r>
      <w:r w:rsidRPr="00E9480B">
        <w:rPr>
          <w:rFonts w:cstheme="minorHAnsi"/>
          <w:i/>
          <w:color w:val="000000" w:themeColor="text1"/>
        </w:rPr>
        <w:t>Le politiche sociali. Temi e prospettive emergenti</w:t>
      </w:r>
      <w:r w:rsidRPr="00E9480B">
        <w:rPr>
          <w:rFonts w:cstheme="minorHAnsi"/>
          <w:color w:val="000000" w:themeColor="text1"/>
        </w:rPr>
        <w:t>, Roma, Carocci.</w:t>
      </w:r>
    </w:p>
    <w:p w14:paraId="3D14AE0A" w14:textId="77777777" w:rsidR="00314DA8" w:rsidRPr="00E9480B" w:rsidRDefault="00314DA8" w:rsidP="00314DA8">
      <w:pPr>
        <w:spacing w:after="120" w:line="240" w:lineRule="atLeast"/>
        <w:jc w:val="both"/>
        <w:rPr>
          <w:rFonts w:cstheme="minorHAnsi"/>
          <w:color w:val="000000" w:themeColor="text1"/>
          <w:lang w:val="en-GB"/>
        </w:rPr>
      </w:pPr>
      <w:r w:rsidRPr="00E9480B">
        <w:rPr>
          <w:rFonts w:cstheme="minorHAnsi"/>
          <w:color w:val="000000" w:themeColor="text1"/>
          <w:lang w:val="en-GB"/>
        </w:rPr>
        <w:t xml:space="preserve">National Audit Office (NAO) (2016). </w:t>
      </w:r>
      <w:r w:rsidRPr="00E9480B">
        <w:rPr>
          <w:rFonts w:cstheme="minorHAnsi"/>
          <w:i/>
          <w:color w:val="000000" w:themeColor="text1"/>
          <w:lang w:val="en-GB"/>
        </w:rPr>
        <w:t>Personal commissioning in adult social care</w:t>
      </w:r>
      <w:r w:rsidRPr="00E9480B">
        <w:rPr>
          <w:rFonts w:cstheme="minorHAnsi"/>
          <w:color w:val="000000" w:themeColor="text1"/>
          <w:lang w:val="en-GB"/>
        </w:rPr>
        <w:t>. London: National Audit Office.</w:t>
      </w:r>
    </w:p>
    <w:p w14:paraId="5D657DB6" w14:textId="77777777" w:rsidR="00314DA8" w:rsidRPr="00E9480B" w:rsidRDefault="00314DA8" w:rsidP="00314DA8">
      <w:pPr>
        <w:spacing w:after="120" w:line="240" w:lineRule="atLeast"/>
        <w:jc w:val="both"/>
        <w:rPr>
          <w:rFonts w:cstheme="minorHAnsi"/>
          <w:color w:val="000000" w:themeColor="text1"/>
          <w:shd w:val="clear" w:color="auto" w:fill="FFFFFF"/>
          <w:lang w:val="en-GB"/>
        </w:rPr>
      </w:pPr>
      <w:r w:rsidRPr="00E9480B">
        <w:rPr>
          <w:rFonts w:cstheme="minorHAnsi"/>
          <w:color w:val="000000" w:themeColor="text1"/>
          <w:shd w:val="clear" w:color="auto" w:fill="FFFFFF"/>
          <w:lang w:val="en-GB"/>
        </w:rPr>
        <w:t>Needham, C. (2011), </w:t>
      </w:r>
      <w:r w:rsidRPr="00E9480B">
        <w:rPr>
          <w:rFonts w:cstheme="minorHAnsi"/>
          <w:i/>
          <w:iCs/>
          <w:color w:val="000000" w:themeColor="text1"/>
          <w:shd w:val="clear" w:color="auto" w:fill="FFFFFF"/>
          <w:lang w:val="en-GB"/>
        </w:rPr>
        <w:t>Personalising public services: Understanding the personalisation narrative</w:t>
      </w:r>
      <w:r w:rsidRPr="00E9480B">
        <w:rPr>
          <w:rFonts w:cstheme="minorHAnsi"/>
          <w:color w:val="000000" w:themeColor="text1"/>
          <w:shd w:val="clear" w:color="auto" w:fill="FFFFFF"/>
          <w:lang w:val="en-GB"/>
        </w:rPr>
        <w:t xml:space="preserve">, Policy Press, Bristol. </w:t>
      </w:r>
    </w:p>
    <w:p w14:paraId="1994A548" w14:textId="77777777" w:rsidR="00314DA8" w:rsidRPr="00E9480B" w:rsidRDefault="00314DA8" w:rsidP="00314DA8">
      <w:pPr>
        <w:spacing w:after="120" w:line="240" w:lineRule="atLeast"/>
        <w:jc w:val="both"/>
        <w:rPr>
          <w:rFonts w:cstheme="minorHAnsi"/>
          <w:color w:val="000000" w:themeColor="text1"/>
          <w:shd w:val="clear" w:color="auto" w:fill="FFFFFF"/>
          <w:lang w:val="en-GB"/>
        </w:rPr>
      </w:pPr>
      <w:proofErr w:type="spellStart"/>
      <w:r w:rsidRPr="00E9480B">
        <w:rPr>
          <w:rFonts w:ascii="Arial" w:hAnsi="Arial" w:cs="Arial"/>
          <w:color w:val="222222"/>
          <w:sz w:val="20"/>
          <w:szCs w:val="20"/>
          <w:shd w:val="clear" w:color="auto" w:fill="FFFFFF"/>
        </w:rPr>
        <w:t>Needham</w:t>
      </w:r>
      <w:proofErr w:type="spellEnd"/>
      <w:r w:rsidRPr="00E9480B">
        <w:rPr>
          <w:rFonts w:ascii="Arial" w:hAnsi="Arial" w:cs="Arial"/>
          <w:color w:val="222222"/>
          <w:sz w:val="20"/>
          <w:szCs w:val="20"/>
          <w:shd w:val="clear" w:color="auto" w:fill="FFFFFF"/>
        </w:rPr>
        <w:t xml:space="preserve">, C., &amp; </w:t>
      </w:r>
      <w:proofErr w:type="spellStart"/>
      <w:r w:rsidRPr="00E9480B">
        <w:rPr>
          <w:rFonts w:ascii="Arial" w:hAnsi="Arial" w:cs="Arial"/>
          <w:color w:val="222222"/>
          <w:sz w:val="20"/>
          <w:szCs w:val="20"/>
          <w:shd w:val="clear" w:color="auto" w:fill="FFFFFF"/>
        </w:rPr>
        <w:t>Glasby</w:t>
      </w:r>
      <w:proofErr w:type="spellEnd"/>
      <w:r w:rsidRPr="00E9480B">
        <w:rPr>
          <w:rFonts w:ascii="Arial" w:hAnsi="Arial" w:cs="Arial"/>
          <w:color w:val="222222"/>
          <w:sz w:val="20"/>
          <w:szCs w:val="20"/>
          <w:shd w:val="clear" w:color="auto" w:fill="FFFFFF"/>
        </w:rPr>
        <w:t>, J. (</w:t>
      </w:r>
      <w:proofErr w:type="spellStart"/>
      <w:r w:rsidRPr="00E9480B">
        <w:rPr>
          <w:rFonts w:ascii="Arial" w:hAnsi="Arial" w:cs="Arial"/>
          <w:color w:val="222222"/>
          <w:sz w:val="20"/>
          <w:szCs w:val="20"/>
          <w:shd w:val="clear" w:color="auto" w:fill="FFFFFF"/>
        </w:rPr>
        <w:t>Eds</w:t>
      </w:r>
      <w:proofErr w:type="spellEnd"/>
      <w:r w:rsidRPr="00E9480B">
        <w:rPr>
          <w:rFonts w:ascii="Arial" w:hAnsi="Arial" w:cs="Arial"/>
          <w:color w:val="222222"/>
          <w:sz w:val="20"/>
          <w:szCs w:val="20"/>
          <w:shd w:val="clear" w:color="auto" w:fill="FFFFFF"/>
        </w:rPr>
        <w:t>.). (2014). </w:t>
      </w:r>
      <w:proofErr w:type="spellStart"/>
      <w:r w:rsidRPr="00E9480B">
        <w:rPr>
          <w:rFonts w:ascii="Arial" w:hAnsi="Arial" w:cs="Arial"/>
          <w:i/>
          <w:iCs/>
          <w:color w:val="222222"/>
          <w:sz w:val="20"/>
          <w:szCs w:val="20"/>
          <w:shd w:val="clear" w:color="auto" w:fill="FFFFFF"/>
        </w:rPr>
        <w:t>Debates</w:t>
      </w:r>
      <w:proofErr w:type="spellEnd"/>
      <w:r w:rsidRPr="00E9480B">
        <w:rPr>
          <w:rFonts w:ascii="Arial" w:hAnsi="Arial" w:cs="Arial"/>
          <w:i/>
          <w:iCs/>
          <w:color w:val="222222"/>
          <w:sz w:val="20"/>
          <w:szCs w:val="20"/>
          <w:shd w:val="clear" w:color="auto" w:fill="FFFFFF"/>
        </w:rPr>
        <w:t xml:space="preserve"> in </w:t>
      </w:r>
      <w:proofErr w:type="spellStart"/>
      <w:r w:rsidRPr="00E9480B">
        <w:rPr>
          <w:rFonts w:ascii="Arial" w:hAnsi="Arial" w:cs="Arial"/>
          <w:i/>
          <w:iCs/>
          <w:color w:val="222222"/>
          <w:sz w:val="20"/>
          <w:szCs w:val="20"/>
          <w:shd w:val="clear" w:color="auto" w:fill="FFFFFF"/>
        </w:rPr>
        <w:t>personalisation</w:t>
      </w:r>
      <w:proofErr w:type="spellEnd"/>
      <w:r w:rsidRPr="00E9480B">
        <w:rPr>
          <w:rFonts w:ascii="Arial" w:hAnsi="Arial" w:cs="Arial"/>
          <w:color w:val="222222"/>
          <w:sz w:val="20"/>
          <w:szCs w:val="20"/>
          <w:shd w:val="clear" w:color="auto" w:fill="FFFFFF"/>
        </w:rPr>
        <w:t>. Policy Press.</w:t>
      </w:r>
    </w:p>
    <w:p w14:paraId="76957FCA" w14:textId="77777777" w:rsidR="00314DA8" w:rsidRPr="00E9480B" w:rsidRDefault="00314DA8" w:rsidP="00314DA8">
      <w:pPr>
        <w:spacing w:after="120" w:line="240" w:lineRule="atLeast"/>
        <w:rPr>
          <w:rFonts w:cstheme="minorHAnsi"/>
          <w:color w:val="000000" w:themeColor="text1"/>
          <w:lang w:val="en-GB"/>
        </w:rPr>
      </w:pPr>
      <w:r w:rsidRPr="00E9480B">
        <w:rPr>
          <w:rFonts w:cstheme="minorHAnsi"/>
          <w:color w:val="000000" w:themeColor="text1"/>
          <w:lang w:val="en-GB"/>
        </w:rPr>
        <w:t xml:space="preserve">Oliver, A. (1996). </w:t>
      </w:r>
      <w:r w:rsidRPr="00E9480B">
        <w:rPr>
          <w:rFonts w:cstheme="minorHAnsi"/>
          <w:i/>
          <w:color w:val="000000" w:themeColor="text1"/>
          <w:lang w:val="en-GB"/>
        </w:rPr>
        <w:t>Understanding disability: from theory to practice</w:t>
      </w:r>
      <w:r w:rsidRPr="00E9480B">
        <w:rPr>
          <w:rFonts w:cstheme="minorHAnsi"/>
          <w:color w:val="000000" w:themeColor="text1"/>
          <w:lang w:val="en-GB"/>
        </w:rPr>
        <w:t xml:space="preserve">. Basingstoke: Palgrave MacMillan. </w:t>
      </w:r>
    </w:p>
    <w:p w14:paraId="605450E8" w14:textId="77777777" w:rsidR="00314DA8" w:rsidRPr="00E9480B" w:rsidRDefault="00314DA8" w:rsidP="00314DA8">
      <w:pPr>
        <w:autoSpaceDE w:val="0"/>
        <w:autoSpaceDN w:val="0"/>
        <w:adjustRightInd w:val="0"/>
        <w:spacing w:after="120" w:line="240" w:lineRule="atLeast"/>
        <w:rPr>
          <w:rFonts w:cstheme="minorHAnsi"/>
          <w:color w:val="000000" w:themeColor="text1"/>
          <w:lang w:val="en-GB"/>
        </w:rPr>
      </w:pPr>
      <w:proofErr w:type="spellStart"/>
      <w:r w:rsidRPr="00E9480B">
        <w:rPr>
          <w:rFonts w:cstheme="minorHAnsi"/>
          <w:color w:val="000000" w:themeColor="text1"/>
          <w:lang w:val="en-GB"/>
        </w:rPr>
        <w:t>Pasquinelli</w:t>
      </w:r>
      <w:proofErr w:type="spellEnd"/>
      <w:r w:rsidRPr="00E9480B">
        <w:rPr>
          <w:rFonts w:cstheme="minorHAnsi"/>
          <w:color w:val="000000" w:themeColor="text1"/>
          <w:lang w:val="en-GB"/>
        </w:rPr>
        <w:t xml:space="preserve">, S. (2006) </w:t>
      </w:r>
      <w:proofErr w:type="spellStart"/>
      <w:r w:rsidRPr="00E9480B">
        <w:rPr>
          <w:rFonts w:cstheme="minorHAnsi"/>
          <w:i/>
          <w:color w:val="000000" w:themeColor="text1"/>
          <w:lang w:val="en-GB"/>
        </w:rPr>
        <w:t>Buoni</w:t>
      </w:r>
      <w:proofErr w:type="spellEnd"/>
      <w:r w:rsidRPr="00E9480B">
        <w:rPr>
          <w:rFonts w:cstheme="minorHAnsi"/>
          <w:i/>
          <w:color w:val="000000" w:themeColor="text1"/>
          <w:lang w:val="en-GB"/>
        </w:rPr>
        <w:t xml:space="preserve"> e Voucher </w:t>
      </w:r>
      <w:proofErr w:type="spellStart"/>
      <w:r w:rsidRPr="00E9480B">
        <w:rPr>
          <w:rFonts w:cstheme="minorHAnsi"/>
          <w:i/>
          <w:color w:val="000000" w:themeColor="text1"/>
          <w:lang w:val="en-GB"/>
        </w:rPr>
        <w:t>Sociali</w:t>
      </w:r>
      <w:proofErr w:type="spellEnd"/>
      <w:r w:rsidRPr="00E9480B">
        <w:rPr>
          <w:rFonts w:cstheme="minorHAnsi"/>
          <w:i/>
          <w:color w:val="000000" w:themeColor="text1"/>
          <w:lang w:val="en-GB"/>
        </w:rPr>
        <w:t xml:space="preserve"> in </w:t>
      </w:r>
      <w:proofErr w:type="spellStart"/>
      <w:r w:rsidRPr="00E9480B">
        <w:rPr>
          <w:rFonts w:cstheme="minorHAnsi"/>
          <w:i/>
          <w:color w:val="000000" w:themeColor="text1"/>
          <w:lang w:val="en-GB"/>
        </w:rPr>
        <w:t>Lombardia</w:t>
      </w:r>
      <w:proofErr w:type="spellEnd"/>
      <w:r w:rsidRPr="00E9480B">
        <w:rPr>
          <w:rFonts w:cstheme="minorHAnsi"/>
          <w:color w:val="000000" w:themeColor="text1"/>
          <w:lang w:val="en-GB"/>
        </w:rPr>
        <w:t xml:space="preserve">, Milano, </w:t>
      </w:r>
      <w:proofErr w:type="spellStart"/>
      <w:r w:rsidRPr="00E9480B">
        <w:rPr>
          <w:rFonts w:cstheme="minorHAnsi"/>
          <w:color w:val="000000" w:themeColor="text1"/>
          <w:lang w:val="en-GB"/>
        </w:rPr>
        <w:t>FrancoAngeli</w:t>
      </w:r>
      <w:proofErr w:type="spellEnd"/>
      <w:r w:rsidRPr="00E9480B">
        <w:rPr>
          <w:rFonts w:cstheme="minorHAnsi"/>
          <w:color w:val="000000" w:themeColor="text1"/>
          <w:lang w:val="en-GB"/>
        </w:rPr>
        <w:t xml:space="preserve">. </w:t>
      </w:r>
    </w:p>
    <w:p w14:paraId="1DB0BD1C" w14:textId="77777777" w:rsidR="00314DA8" w:rsidRPr="00E9480B" w:rsidRDefault="00314DA8" w:rsidP="00314DA8">
      <w:pPr>
        <w:autoSpaceDE w:val="0"/>
        <w:autoSpaceDN w:val="0"/>
        <w:adjustRightInd w:val="0"/>
        <w:spacing w:after="120" w:line="240" w:lineRule="atLeast"/>
        <w:rPr>
          <w:rFonts w:cstheme="minorHAnsi"/>
          <w:color w:val="000000" w:themeColor="text1"/>
        </w:rPr>
      </w:pPr>
      <w:proofErr w:type="spellStart"/>
      <w:r w:rsidRPr="00E9480B">
        <w:rPr>
          <w:rFonts w:cstheme="minorHAnsi"/>
          <w:color w:val="000000" w:themeColor="text1"/>
        </w:rPr>
        <w:t>Pawson</w:t>
      </w:r>
      <w:proofErr w:type="spellEnd"/>
      <w:r w:rsidRPr="00E9480B">
        <w:rPr>
          <w:rFonts w:cstheme="minorHAnsi"/>
          <w:color w:val="000000" w:themeColor="text1"/>
        </w:rPr>
        <w:t xml:space="preserve">, R. and </w:t>
      </w:r>
      <w:proofErr w:type="spellStart"/>
      <w:r w:rsidRPr="00E9480B">
        <w:rPr>
          <w:rFonts w:cstheme="minorHAnsi"/>
          <w:color w:val="000000" w:themeColor="text1"/>
        </w:rPr>
        <w:t>Tilley</w:t>
      </w:r>
      <w:proofErr w:type="spellEnd"/>
      <w:r w:rsidRPr="00E9480B">
        <w:rPr>
          <w:rFonts w:cstheme="minorHAnsi"/>
          <w:color w:val="000000" w:themeColor="text1"/>
        </w:rPr>
        <w:t xml:space="preserve">, N. (1997), </w:t>
      </w:r>
      <w:proofErr w:type="spellStart"/>
      <w:r w:rsidRPr="00E9480B">
        <w:rPr>
          <w:rFonts w:cstheme="minorHAnsi"/>
          <w:i/>
          <w:color w:val="000000" w:themeColor="text1"/>
        </w:rPr>
        <w:t>Realistic</w:t>
      </w:r>
      <w:proofErr w:type="spellEnd"/>
      <w:r w:rsidRPr="00E9480B">
        <w:rPr>
          <w:rFonts w:cstheme="minorHAnsi"/>
          <w:i/>
          <w:color w:val="000000" w:themeColor="text1"/>
        </w:rPr>
        <w:t xml:space="preserve"> Evaluation</w:t>
      </w:r>
      <w:r w:rsidRPr="00E9480B">
        <w:rPr>
          <w:rFonts w:cstheme="minorHAnsi"/>
          <w:color w:val="000000" w:themeColor="text1"/>
        </w:rPr>
        <w:t xml:space="preserve">, London, </w:t>
      </w:r>
      <w:proofErr w:type="spellStart"/>
      <w:r w:rsidRPr="00E9480B">
        <w:rPr>
          <w:rFonts w:cstheme="minorHAnsi"/>
          <w:color w:val="000000" w:themeColor="text1"/>
        </w:rPr>
        <w:t>Sage</w:t>
      </w:r>
      <w:proofErr w:type="spellEnd"/>
      <w:r w:rsidRPr="00E9480B">
        <w:rPr>
          <w:rFonts w:cstheme="minorHAnsi"/>
          <w:color w:val="000000" w:themeColor="text1"/>
        </w:rPr>
        <w:t xml:space="preserve">. </w:t>
      </w:r>
    </w:p>
    <w:p w14:paraId="20539312" w14:textId="77777777" w:rsidR="00314DA8" w:rsidRPr="00E9480B" w:rsidRDefault="00314DA8" w:rsidP="00314DA8">
      <w:pPr>
        <w:autoSpaceDE w:val="0"/>
        <w:autoSpaceDN w:val="0"/>
        <w:adjustRightInd w:val="0"/>
        <w:spacing w:after="120" w:line="240" w:lineRule="atLeast"/>
        <w:rPr>
          <w:rFonts w:cstheme="minorHAnsi"/>
          <w:color w:val="000000" w:themeColor="text1"/>
          <w:shd w:val="clear" w:color="auto" w:fill="FFFFFF"/>
        </w:rPr>
      </w:pPr>
      <w:r w:rsidRPr="00E9480B">
        <w:rPr>
          <w:rFonts w:cstheme="minorHAnsi"/>
          <w:color w:val="000000" w:themeColor="text1"/>
          <w:shd w:val="clear" w:color="auto" w:fill="FFFFFF"/>
        </w:rPr>
        <w:t xml:space="preserve">Peck, J., &amp; Theodore, N. (2012). Follow the policy: a </w:t>
      </w:r>
      <w:proofErr w:type="spellStart"/>
      <w:r w:rsidRPr="00E9480B">
        <w:rPr>
          <w:rFonts w:cstheme="minorHAnsi"/>
          <w:color w:val="000000" w:themeColor="text1"/>
          <w:shd w:val="clear" w:color="auto" w:fill="FFFFFF"/>
        </w:rPr>
        <w:t>distended</w:t>
      </w:r>
      <w:proofErr w:type="spellEnd"/>
      <w:r w:rsidRPr="00E9480B">
        <w:rPr>
          <w:rFonts w:cstheme="minorHAnsi"/>
          <w:color w:val="000000" w:themeColor="text1"/>
          <w:shd w:val="clear" w:color="auto" w:fill="FFFFFF"/>
        </w:rPr>
        <w:t xml:space="preserve"> case </w:t>
      </w:r>
      <w:proofErr w:type="spellStart"/>
      <w:r w:rsidRPr="00E9480B">
        <w:rPr>
          <w:rFonts w:cstheme="minorHAnsi"/>
          <w:color w:val="000000" w:themeColor="text1"/>
          <w:shd w:val="clear" w:color="auto" w:fill="FFFFFF"/>
        </w:rPr>
        <w:t>approach</w:t>
      </w:r>
      <w:proofErr w:type="spellEnd"/>
      <w:r w:rsidRPr="00E9480B">
        <w:rPr>
          <w:rFonts w:cstheme="minorHAnsi"/>
          <w:color w:val="000000" w:themeColor="text1"/>
          <w:shd w:val="clear" w:color="auto" w:fill="FFFFFF"/>
        </w:rPr>
        <w:t>. </w:t>
      </w:r>
      <w:r w:rsidRPr="00E9480B">
        <w:rPr>
          <w:rFonts w:cstheme="minorHAnsi"/>
          <w:i/>
          <w:iCs/>
          <w:color w:val="000000" w:themeColor="text1"/>
          <w:shd w:val="clear" w:color="auto" w:fill="FFFFFF"/>
        </w:rPr>
        <w:t>Environment and Planning A</w:t>
      </w:r>
      <w:r w:rsidRPr="00E9480B">
        <w:rPr>
          <w:rFonts w:cstheme="minorHAnsi"/>
          <w:color w:val="000000" w:themeColor="text1"/>
          <w:shd w:val="clear" w:color="auto" w:fill="FFFFFF"/>
        </w:rPr>
        <w:t>, </w:t>
      </w:r>
      <w:r w:rsidRPr="00E9480B">
        <w:rPr>
          <w:rFonts w:cstheme="minorHAnsi"/>
          <w:i/>
          <w:iCs/>
          <w:color w:val="000000" w:themeColor="text1"/>
          <w:shd w:val="clear" w:color="auto" w:fill="FFFFFF"/>
        </w:rPr>
        <w:t>44</w:t>
      </w:r>
      <w:r w:rsidRPr="00E9480B">
        <w:rPr>
          <w:rFonts w:cstheme="minorHAnsi"/>
          <w:color w:val="000000" w:themeColor="text1"/>
          <w:shd w:val="clear" w:color="auto" w:fill="FFFFFF"/>
        </w:rPr>
        <w:t>(1), 21-30.</w:t>
      </w:r>
    </w:p>
    <w:p w14:paraId="413DE059" w14:textId="77777777" w:rsidR="00314DA8" w:rsidRPr="00E9480B" w:rsidRDefault="00314DA8" w:rsidP="00314DA8">
      <w:pPr>
        <w:spacing w:after="120" w:line="240" w:lineRule="atLeast"/>
        <w:jc w:val="both"/>
        <w:rPr>
          <w:rFonts w:cstheme="minorHAnsi"/>
          <w:color w:val="000000" w:themeColor="text1"/>
          <w:lang w:val="en-GB"/>
        </w:rPr>
      </w:pPr>
      <w:r w:rsidRPr="00E9480B">
        <w:rPr>
          <w:rFonts w:cstheme="minorHAnsi"/>
          <w:color w:val="000000" w:themeColor="text1"/>
          <w:lang w:val="en-GB"/>
        </w:rPr>
        <w:t xml:space="preserve">Sen, A. (1985) </w:t>
      </w:r>
      <w:r w:rsidRPr="00E9480B">
        <w:rPr>
          <w:rFonts w:cstheme="minorHAnsi"/>
          <w:i/>
          <w:iCs/>
          <w:color w:val="000000" w:themeColor="text1"/>
          <w:lang w:val="en-GB"/>
        </w:rPr>
        <w:t>Commodities and Capabilities</w:t>
      </w:r>
      <w:r w:rsidRPr="00E9480B">
        <w:rPr>
          <w:rFonts w:cstheme="minorHAnsi"/>
          <w:color w:val="000000" w:themeColor="text1"/>
          <w:lang w:val="en-GB"/>
        </w:rPr>
        <w:t>, Amsterdam, Elsevier Science Publishers.</w:t>
      </w:r>
    </w:p>
    <w:p w14:paraId="5CA930CE" w14:textId="35D9DDA7" w:rsidR="00314DA8" w:rsidRPr="00314DA8" w:rsidRDefault="00314DA8" w:rsidP="00314DA8">
      <w:pPr>
        <w:spacing w:after="120" w:line="240" w:lineRule="atLeast"/>
        <w:jc w:val="both"/>
        <w:rPr>
          <w:rFonts w:cstheme="minorHAnsi"/>
          <w:color w:val="000000" w:themeColor="text1"/>
          <w:lang w:val="en-GB"/>
        </w:rPr>
      </w:pPr>
      <w:r w:rsidRPr="00E9480B">
        <w:rPr>
          <w:rFonts w:cstheme="minorHAnsi"/>
          <w:color w:val="000000" w:themeColor="text1"/>
          <w:lang w:val="en-GB"/>
        </w:rPr>
        <w:t xml:space="preserve">Sen, A. (1999) </w:t>
      </w:r>
      <w:r w:rsidRPr="00E9480B">
        <w:rPr>
          <w:rFonts w:cstheme="minorHAnsi"/>
          <w:i/>
          <w:iCs/>
          <w:color w:val="000000" w:themeColor="text1"/>
          <w:lang w:val="en-GB"/>
        </w:rPr>
        <w:t>Development as Freedom</w:t>
      </w:r>
      <w:r w:rsidRPr="00E9480B">
        <w:rPr>
          <w:rFonts w:cstheme="minorHAnsi"/>
          <w:color w:val="000000" w:themeColor="text1"/>
          <w:lang w:val="en-GB"/>
        </w:rPr>
        <w:t xml:space="preserve">, Oxford, Oxford University Press. </w:t>
      </w:r>
      <w:r w:rsidRPr="00E9480B">
        <w:rPr>
          <w:rFonts w:cstheme="minorHAnsi"/>
          <w:color w:val="000000" w:themeColor="text1"/>
          <w:shd w:val="clear" w:color="auto" w:fill="FFFFFF"/>
          <w:lang w:val="en-GB"/>
        </w:rPr>
        <w:tab/>
      </w:r>
    </w:p>
    <w:p w14:paraId="61C23111" w14:textId="77777777" w:rsidR="00314DA8" w:rsidRPr="00E9480B" w:rsidRDefault="00314DA8" w:rsidP="00314DA8">
      <w:pPr>
        <w:spacing w:line="240" w:lineRule="auto"/>
        <w:jc w:val="both"/>
        <w:rPr>
          <w:rFonts w:ascii="Calibri" w:hAnsi="Calibri" w:cs="Calibri"/>
          <w:color w:val="000000" w:themeColor="text1"/>
          <w:lang w:val="en-GB"/>
        </w:rPr>
      </w:pPr>
      <w:proofErr w:type="spellStart"/>
      <w:r w:rsidRPr="00E9480B">
        <w:rPr>
          <w:rFonts w:ascii="Calibri" w:hAnsi="Calibri" w:cs="Calibri"/>
          <w:color w:val="000000" w:themeColor="text1"/>
          <w:shd w:val="clear" w:color="auto" w:fill="FFFFFF"/>
        </w:rPr>
        <w:t>Slasberg</w:t>
      </w:r>
      <w:proofErr w:type="spellEnd"/>
      <w:r w:rsidRPr="00E9480B">
        <w:rPr>
          <w:rFonts w:ascii="Calibri" w:hAnsi="Calibri" w:cs="Calibri"/>
          <w:color w:val="000000" w:themeColor="text1"/>
          <w:shd w:val="clear" w:color="auto" w:fill="FFFFFF"/>
        </w:rPr>
        <w:t xml:space="preserve">, C., </w:t>
      </w:r>
      <w:proofErr w:type="spellStart"/>
      <w:r w:rsidRPr="00E9480B">
        <w:rPr>
          <w:rFonts w:ascii="Calibri" w:hAnsi="Calibri" w:cs="Calibri"/>
          <w:color w:val="000000" w:themeColor="text1"/>
          <w:shd w:val="clear" w:color="auto" w:fill="FFFFFF"/>
        </w:rPr>
        <w:t>Beresford</w:t>
      </w:r>
      <w:proofErr w:type="spellEnd"/>
      <w:r w:rsidRPr="00E9480B">
        <w:rPr>
          <w:rFonts w:ascii="Calibri" w:hAnsi="Calibri" w:cs="Calibri"/>
          <w:color w:val="000000" w:themeColor="text1"/>
          <w:shd w:val="clear" w:color="auto" w:fill="FFFFFF"/>
        </w:rPr>
        <w:t xml:space="preserve">, P., </w:t>
      </w:r>
      <w:proofErr w:type="spellStart"/>
      <w:r w:rsidRPr="00E9480B">
        <w:rPr>
          <w:rFonts w:ascii="Calibri" w:hAnsi="Calibri" w:cs="Calibri"/>
          <w:color w:val="000000" w:themeColor="text1"/>
          <w:shd w:val="clear" w:color="auto" w:fill="FFFFFF"/>
        </w:rPr>
        <w:t>Schofield</w:t>
      </w:r>
      <w:proofErr w:type="spellEnd"/>
      <w:r w:rsidRPr="00E9480B">
        <w:rPr>
          <w:rFonts w:ascii="Calibri" w:hAnsi="Calibri" w:cs="Calibri"/>
          <w:color w:val="000000" w:themeColor="text1"/>
          <w:shd w:val="clear" w:color="auto" w:fill="FFFFFF"/>
        </w:rPr>
        <w:t xml:space="preserve">, P., &amp; </w:t>
      </w:r>
      <w:proofErr w:type="spellStart"/>
      <w:r w:rsidRPr="00E9480B">
        <w:rPr>
          <w:rFonts w:ascii="Calibri" w:hAnsi="Calibri" w:cs="Calibri"/>
          <w:color w:val="000000" w:themeColor="text1"/>
          <w:shd w:val="clear" w:color="auto" w:fill="FFFFFF"/>
        </w:rPr>
        <w:t>Harlow</w:t>
      </w:r>
      <w:proofErr w:type="spellEnd"/>
      <w:r w:rsidRPr="00E9480B">
        <w:rPr>
          <w:rFonts w:ascii="Calibri" w:hAnsi="Calibri" w:cs="Calibri"/>
          <w:color w:val="000000" w:themeColor="text1"/>
          <w:shd w:val="clear" w:color="auto" w:fill="FFFFFF"/>
        </w:rPr>
        <w:t xml:space="preserve">, E. (2013). The </w:t>
      </w:r>
      <w:proofErr w:type="spellStart"/>
      <w:r w:rsidRPr="00E9480B">
        <w:rPr>
          <w:rFonts w:ascii="Calibri" w:hAnsi="Calibri" w:cs="Calibri"/>
          <w:color w:val="000000" w:themeColor="text1"/>
          <w:shd w:val="clear" w:color="auto" w:fill="FFFFFF"/>
        </w:rPr>
        <w:t>increasing</w:t>
      </w:r>
      <w:proofErr w:type="spellEnd"/>
      <w:r w:rsidRPr="00E9480B">
        <w:rPr>
          <w:rFonts w:ascii="Calibri" w:hAnsi="Calibri" w:cs="Calibri"/>
          <w:color w:val="000000" w:themeColor="text1"/>
          <w:shd w:val="clear" w:color="auto" w:fill="FFFFFF"/>
        </w:rPr>
        <w:t xml:space="preserve"> </w:t>
      </w:r>
      <w:proofErr w:type="spellStart"/>
      <w:r w:rsidRPr="00E9480B">
        <w:rPr>
          <w:rFonts w:ascii="Calibri" w:hAnsi="Calibri" w:cs="Calibri"/>
          <w:color w:val="000000" w:themeColor="text1"/>
          <w:shd w:val="clear" w:color="auto" w:fill="FFFFFF"/>
        </w:rPr>
        <w:t>evidence</w:t>
      </w:r>
      <w:proofErr w:type="spellEnd"/>
      <w:r w:rsidRPr="00E9480B">
        <w:rPr>
          <w:rFonts w:ascii="Calibri" w:hAnsi="Calibri" w:cs="Calibri"/>
          <w:color w:val="000000" w:themeColor="text1"/>
          <w:shd w:val="clear" w:color="auto" w:fill="FFFFFF"/>
        </w:rPr>
        <w:t xml:space="preserve"> of </w:t>
      </w:r>
      <w:proofErr w:type="spellStart"/>
      <w:r w:rsidRPr="00E9480B">
        <w:rPr>
          <w:rFonts w:ascii="Calibri" w:hAnsi="Calibri" w:cs="Calibri"/>
          <w:color w:val="000000" w:themeColor="text1"/>
          <w:shd w:val="clear" w:color="auto" w:fill="FFFFFF"/>
        </w:rPr>
        <w:t>how</w:t>
      </w:r>
      <w:proofErr w:type="spellEnd"/>
      <w:r w:rsidRPr="00E9480B">
        <w:rPr>
          <w:rFonts w:ascii="Calibri" w:hAnsi="Calibri" w:cs="Calibri"/>
          <w:color w:val="000000" w:themeColor="text1"/>
          <w:shd w:val="clear" w:color="auto" w:fill="FFFFFF"/>
        </w:rPr>
        <w:t xml:space="preserve"> self-</w:t>
      </w:r>
      <w:proofErr w:type="spellStart"/>
      <w:r w:rsidRPr="00E9480B">
        <w:rPr>
          <w:rFonts w:ascii="Calibri" w:hAnsi="Calibri" w:cs="Calibri"/>
          <w:color w:val="000000" w:themeColor="text1"/>
          <w:shd w:val="clear" w:color="auto" w:fill="FFFFFF"/>
        </w:rPr>
        <w:t>directed</w:t>
      </w:r>
      <w:proofErr w:type="spellEnd"/>
      <w:r w:rsidRPr="00E9480B">
        <w:rPr>
          <w:rFonts w:ascii="Calibri" w:hAnsi="Calibri" w:cs="Calibri"/>
          <w:color w:val="000000" w:themeColor="text1"/>
          <w:shd w:val="clear" w:color="auto" w:fill="FFFFFF"/>
        </w:rPr>
        <w:t xml:space="preserve"> support </w:t>
      </w:r>
      <w:proofErr w:type="spellStart"/>
      <w:r w:rsidRPr="00E9480B">
        <w:rPr>
          <w:rFonts w:ascii="Calibri" w:hAnsi="Calibri" w:cs="Calibri"/>
          <w:color w:val="000000" w:themeColor="text1"/>
          <w:shd w:val="clear" w:color="auto" w:fill="FFFFFF"/>
        </w:rPr>
        <w:t>is</w:t>
      </w:r>
      <w:proofErr w:type="spellEnd"/>
      <w:r w:rsidRPr="00E9480B">
        <w:rPr>
          <w:rFonts w:ascii="Calibri" w:hAnsi="Calibri" w:cs="Calibri"/>
          <w:color w:val="000000" w:themeColor="text1"/>
          <w:shd w:val="clear" w:color="auto" w:fill="FFFFFF"/>
        </w:rPr>
        <w:t xml:space="preserve"> </w:t>
      </w:r>
      <w:proofErr w:type="spellStart"/>
      <w:r w:rsidRPr="00E9480B">
        <w:rPr>
          <w:rFonts w:ascii="Calibri" w:hAnsi="Calibri" w:cs="Calibri"/>
          <w:color w:val="000000" w:themeColor="text1"/>
          <w:shd w:val="clear" w:color="auto" w:fill="FFFFFF"/>
        </w:rPr>
        <w:t>failing</w:t>
      </w:r>
      <w:proofErr w:type="spellEnd"/>
      <w:r w:rsidRPr="00E9480B">
        <w:rPr>
          <w:rFonts w:ascii="Calibri" w:hAnsi="Calibri" w:cs="Calibri"/>
          <w:color w:val="000000" w:themeColor="text1"/>
          <w:shd w:val="clear" w:color="auto" w:fill="FFFFFF"/>
        </w:rPr>
        <w:t xml:space="preserve"> to </w:t>
      </w:r>
      <w:proofErr w:type="spellStart"/>
      <w:r w:rsidRPr="00E9480B">
        <w:rPr>
          <w:rFonts w:ascii="Calibri" w:hAnsi="Calibri" w:cs="Calibri"/>
          <w:color w:val="000000" w:themeColor="text1"/>
          <w:shd w:val="clear" w:color="auto" w:fill="FFFFFF"/>
        </w:rPr>
        <w:t>deliver</w:t>
      </w:r>
      <w:proofErr w:type="spellEnd"/>
      <w:r w:rsidRPr="00E9480B">
        <w:rPr>
          <w:rFonts w:ascii="Calibri" w:hAnsi="Calibri" w:cs="Calibri"/>
          <w:color w:val="000000" w:themeColor="text1"/>
          <w:shd w:val="clear" w:color="auto" w:fill="FFFFFF"/>
        </w:rPr>
        <w:t xml:space="preserve"> personal budgets and </w:t>
      </w:r>
      <w:proofErr w:type="spellStart"/>
      <w:r w:rsidRPr="00E9480B">
        <w:rPr>
          <w:rFonts w:ascii="Calibri" w:hAnsi="Calibri" w:cs="Calibri"/>
          <w:color w:val="000000" w:themeColor="text1"/>
          <w:shd w:val="clear" w:color="auto" w:fill="FFFFFF"/>
        </w:rPr>
        <w:t>personalisation</w:t>
      </w:r>
      <w:proofErr w:type="spellEnd"/>
      <w:r w:rsidRPr="00E9480B">
        <w:rPr>
          <w:rFonts w:ascii="Calibri" w:hAnsi="Calibri" w:cs="Calibri"/>
          <w:color w:val="000000" w:themeColor="text1"/>
          <w:shd w:val="clear" w:color="auto" w:fill="FFFFFF"/>
        </w:rPr>
        <w:t>. </w:t>
      </w:r>
      <w:proofErr w:type="spellStart"/>
      <w:r w:rsidRPr="00E9480B">
        <w:rPr>
          <w:rFonts w:ascii="Calibri" w:hAnsi="Calibri" w:cs="Calibri"/>
          <w:i/>
          <w:iCs/>
          <w:color w:val="000000" w:themeColor="text1"/>
          <w:shd w:val="clear" w:color="auto" w:fill="FFFFFF"/>
        </w:rPr>
        <w:t>Research</w:t>
      </w:r>
      <w:proofErr w:type="spellEnd"/>
      <w:r w:rsidRPr="00E9480B">
        <w:rPr>
          <w:rFonts w:ascii="Calibri" w:hAnsi="Calibri" w:cs="Calibri"/>
          <w:i/>
          <w:iCs/>
          <w:color w:val="000000" w:themeColor="text1"/>
          <w:shd w:val="clear" w:color="auto" w:fill="FFFFFF"/>
        </w:rPr>
        <w:t>, Policy and Planning</w:t>
      </w:r>
      <w:r w:rsidRPr="00E9480B">
        <w:rPr>
          <w:rFonts w:ascii="Calibri" w:hAnsi="Calibri" w:cs="Calibri"/>
          <w:color w:val="000000" w:themeColor="text1"/>
          <w:shd w:val="clear" w:color="auto" w:fill="FFFFFF"/>
        </w:rPr>
        <w:t>, </w:t>
      </w:r>
      <w:r w:rsidRPr="00E9480B">
        <w:rPr>
          <w:rFonts w:ascii="Calibri" w:hAnsi="Calibri" w:cs="Calibri"/>
          <w:i/>
          <w:iCs/>
          <w:color w:val="000000" w:themeColor="text1"/>
          <w:shd w:val="clear" w:color="auto" w:fill="FFFFFF"/>
        </w:rPr>
        <w:t>30</w:t>
      </w:r>
      <w:r w:rsidRPr="00E9480B">
        <w:rPr>
          <w:rFonts w:ascii="Calibri" w:hAnsi="Calibri" w:cs="Calibri"/>
          <w:color w:val="000000" w:themeColor="text1"/>
          <w:shd w:val="clear" w:color="auto" w:fill="FFFFFF"/>
        </w:rPr>
        <w:t>(2), 91-105.</w:t>
      </w:r>
    </w:p>
    <w:p w14:paraId="71E13808" w14:textId="77777777" w:rsidR="00314DA8" w:rsidRPr="00E9480B" w:rsidRDefault="00314DA8" w:rsidP="00314DA8">
      <w:pPr>
        <w:spacing w:line="240" w:lineRule="auto"/>
        <w:jc w:val="both"/>
        <w:rPr>
          <w:rFonts w:ascii="Calibri" w:hAnsi="Calibri" w:cs="Calibri"/>
          <w:color w:val="000000" w:themeColor="text1"/>
          <w:shd w:val="clear" w:color="auto" w:fill="FFFFFF"/>
        </w:rPr>
      </w:pPr>
      <w:proofErr w:type="spellStart"/>
      <w:r w:rsidRPr="00E9480B">
        <w:rPr>
          <w:rFonts w:ascii="Calibri" w:hAnsi="Calibri" w:cs="Calibri"/>
          <w:color w:val="000000" w:themeColor="text1"/>
          <w:shd w:val="clear" w:color="auto" w:fill="FFFFFF"/>
        </w:rPr>
        <w:t>Slasberg</w:t>
      </w:r>
      <w:proofErr w:type="spellEnd"/>
      <w:r w:rsidRPr="00E9480B">
        <w:rPr>
          <w:rFonts w:ascii="Calibri" w:hAnsi="Calibri" w:cs="Calibri"/>
          <w:color w:val="000000" w:themeColor="text1"/>
          <w:shd w:val="clear" w:color="auto" w:fill="FFFFFF"/>
        </w:rPr>
        <w:t xml:space="preserve">, C., &amp; </w:t>
      </w:r>
      <w:proofErr w:type="spellStart"/>
      <w:r w:rsidRPr="00E9480B">
        <w:rPr>
          <w:rFonts w:ascii="Calibri" w:hAnsi="Calibri" w:cs="Calibri"/>
          <w:color w:val="000000" w:themeColor="text1"/>
          <w:shd w:val="clear" w:color="auto" w:fill="FFFFFF"/>
        </w:rPr>
        <w:t>Beresford</w:t>
      </w:r>
      <w:proofErr w:type="spellEnd"/>
      <w:r w:rsidRPr="00E9480B">
        <w:rPr>
          <w:rFonts w:ascii="Calibri" w:hAnsi="Calibri" w:cs="Calibri"/>
          <w:color w:val="000000" w:themeColor="text1"/>
          <w:shd w:val="clear" w:color="auto" w:fill="FFFFFF"/>
        </w:rPr>
        <w:t xml:space="preserve">, P. (2015). Building on the </w:t>
      </w:r>
      <w:proofErr w:type="spellStart"/>
      <w:r w:rsidRPr="00E9480B">
        <w:rPr>
          <w:rFonts w:ascii="Calibri" w:hAnsi="Calibri" w:cs="Calibri"/>
          <w:color w:val="000000" w:themeColor="text1"/>
          <w:shd w:val="clear" w:color="auto" w:fill="FFFFFF"/>
        </w:rPr>
        <w:t>original</w:t>
      </w:r>
      <w:proofErr w:type="spellEnd"/>
      <w:r w:rsidRPr="00E9480B">
        <w:rPr>
          <w:rFonts w:ascii="Calibri" w:hAnsi="Calibri" w:cs="Calibri"/>
          <w:color w:val="000000" w:themeColor="text1"/>
          <w:shd w:val="clear" w:color="auto" w:fill="FFFFFF"/>
        </w:rPr>
        <w:t xml:space="preserve"> </w:t>
      </w:r>
      <w:proofErr w:type="spellStart"/>
      <w:r w:rsidRPr="00E9480B">
        <w:rPr>
          <w:rFonts w:ascii="Calibri" w:hAnsi="Calibri" w:cs="Calibri"/>
          <w:color w:val="000000" w:themeColor="text1"/>
          <w:shd w:val="clear" w:color="auto" w:fill="FFFFFF"/>
        </w:rPr>
        <w:t>strengths</w:t>
      </w:r>
      <w:proofErr w:type="spellEnd"/>
      <w:r w:rsidRPr="00E9480B">
        <w:rPr>
          <w:rFonts w:ascii="Calibri" w:hAnsi="Calibri" w:cs="Calibri"/>
          <w:color w:val="000000" w:themeColor="text1"/>
          <w:shd w:val="clear" w:color="auto" w:fill="FFFFFF"/>
        </w:rPr>
        <w:t xml:space="preserve"> of </w:t>
      </w:r>
      <w:proofErr w:type="spellStart"/>
      <w:r w:rsidRPr="00E9480B">
        <w:rPr>
          <w:rFonts w:ascii="Calibri" w:hAnsi="Calibri" w:cs="Calibri"/>
          <w:color w:val="000000" w:themeColor="text1"/>
          <w:shd w:val="clear" w:color="auto" w:fill="FFFFFF"/>
        </w:rPr>
        <w:t>direct</w:t>
      </w:r>
      <w:proofErr w:type="spellEnd"/>
      <w:r w:rsidRPr="00E9480B">
        <w:rPr>
          <w:rFonts w:ascii="Calibri" w:hAnsi="Calibri" w:cs="Calibri"/>
          <w:color w:val="000000" w:themeColor="text1"/>
          <w:shd w:val="clear" w:color="auto" w:fill="FFFFFF"/>
        </w:rPr>
        <w:t xml:space="preserve"> payments to create a </w:t>
      </w:r>
      <w:proofErr w:type="spellStart"/>
      <w:r w:rsidRPr="00E9480B">
        <w:rPr>
          <w:rFonts w:ascii="Calibri" w:hAnsi="Calibri" w:cs="Calibri"/>
          <w:color w:val="000000" w:themeColor="text1"/>
          <w:shd w:val="clear" w:color="auto" w:fill="FFFFFF"/>
        </w:rPr>
        <w:t>better</w:t>
      </w:r>
      <w:proofErr w:type="spellEnd"/>
      <w:r w:rsidRPr="00E9480B">
        <w:rPr>
          <w:rFonts w:ascii="Calibri" w:hAnsi="Calibri" w:cs="Calibri"/>
          <w:color w:val="000000" w:themeColor="text1"/>
          <w:shd w:val="clear" w:color="auto" w:fill="FFFFFF"/>
        </w:rPr>
        <w:t xml:space="preserve"> future for social care. </w:t>
      </w:r>
      <w:proofErr w:type="spellStart"/>
      <w:r w:rsidRPr="00E9480B">
        <w:rPr>
          <w:rFonts w:ascii="Calibri" w:hAnsi="Calibri" w:cs="Calibri"/>
          <w:i/>
          <w:iCs/>
          <w:color w:val="000000" w:themeColor="text1"/>
          <w:shd w:val="clear" w:color="auto" w:fill="FFFFFF"/>
        </w:rPr>
        <w:t>Disability</w:t>
      </w:r>
      <w:proofErr w:type="spellEnd"/>
      <w:r w:rsidRPr="00E9480B">
        <w:rPr>
          <w:rFonts w:ascii="Calibri" w:hAnsi="Calibri" w:cs="Calibri"/>
          <w:i/>
          <w:iCs/>
          <w:color w:val="000000" w:themeColor="text1"/>
          <w:shd w:val="clear" w:color="auto" w:fill="FFFFFF"/>
        </w:rPr>
        <w:t xml:space="preserve"> &amp; Society</w:t>
      </w:r>
      <w:r w:rsidRPr="00E9480B">
        <w:rPr>
          <w:rFonts w:ascii="Calibri" w:hAnsi="Calibri" w:cs="Calibri"/>
          <w:color w:val="000000" w:themeColor="text1"/>
          <w:shd w:val="clear" w:color="auto" w:fill="FFFFFF"/>
        </w:rPr>
        <w:t>, </w:t>
      </w:r>
      <w:r w:rsidRPr="00E9480B">
        <w:rPr>
          <w:rFonts w:ascii="Calibri" w:hAnsi="Calibri" w:cs="Calibri"/>
          <w:i/>
          <w:iCs/>
          <w:color w:val="000000" w:themeColor="text1"/>
          <w:shd w:val="clear" w:color="auto" w:fill="FFFFFF"/>
        </w:rPr>
        <w:t>30</w:t>
      </w:r>
      <w:r w:rsidRPr="00E9480B">
        <w:rPr>
          <w:rFonts w:ascii="Calibri" w:hAnsi="Calibri" w:cs="Calibri"/>
          <w:color w:val="000000" w:themeColor="text1"/>
          <w:shd w:val="clear" w:color="auto" w:fill="FFFFFF"/>
        </w:rPr>
        <w:t>(3), 479-483.</w:t>
      </w:r>
    </w:p>
    <w:p w14:paraId="682F8975" w14:textId="77777777" w:rsidR="00314DA8" w:rsidRPr="00E9480B" w:rsidRDefault="00314DA8" w:rsidP="00314DA8">
      <w:pPr>
        <w:autoSpaceDE w:val="0"/>
        <w:autoSpaceDN w:val="0"/>
        <w:adjustRightInd w:val="0"/>
        <w:spacing w:after="120" w:line="240" w:lineRule="atLeast"/>
        <w:jc w:val="both"/>
        <w:rPr>
          <w:rFonts w:cstheme="minorHAnsi"/>
          <w:color w:val="000000" w:themeColor="text1"/>
          <w:shd w:val="clear" w:color="auto" w:fill="FFFFFF"/>
          <w:lang w:val="en-GB"/>
        </w:rPr>
      </w:pPr>
      <w:proofErr w:type="spellStart"/>
      <w:r w:rsidRPr="00E9480B">
        <w:rPr>
          <w:rFonts w:cstheme="minorHAnsi"/>
          <w:color w:val="000000" w:themeColor="text1"/>
          <w:shd w:val="clear" w:color="auto" w:fill="FFFFFF"/>
        </w:rPr>
        <w:t>Slasberg</w:t>
      </w:r>
      <w:proofErr w:type="spellEnd"/>
      <w:r w:rsidRPr="00E9480B">
        <w:rPr>
          <w:rFonts w:cstheme="minorHAnsi"/>
          <w:color w:val="000000" w:themeColor="text1"/>
          <w:shd w:val="clear" w:color="auto" w:fill="FFFFFF"/>
        </w:rPr>
        <w:t xml:space="preserve">, C., &amp; </w:t>
      </w:r>
      <w:proofErr w:type="spellStart"/>
      <w:r w:rsidRPr="00E9480B">
        <w:rPr>
          <w:rFonts w:cstheme="minorHAnsi"/>
          <w:color w:val="000000" w:themeColor="text1"/>
          <w:shd w:val="clear" w:color="auto" w:fill="FFFFFF"/>
        </w:rPr>
        <w:t>Beresford</w:t>
      </w:r>
      <w:proofErr w:type="spellEnd"/>
      <w:r w:rsidRPr="00E9480B">
        <w:rPr>
          <w:rFonts w:cstheme="minorHAnsi"/>
          <w:color w:val="000000" w:themeColor="text1"/>
          <w:shd w:val="clear" w:color="auto" w:fill="FFFFFF"/>
        </w:rPr>
        <w:t xml:space="preserve">, P. (2016). The false narrative </w:t>
      </w:r>
      <w:proofErr w:type="spellStart"/>
      <w:r w:rsidRPr="00E9480B">
        <w:rPr>
          <w:rFonts w:cstheme="minorHAnsi"/>
          <w:color w:val="000000" w:themeColor="text1"/>
          <w:shd w:val="clear" w:color="auto" w:fill="FFFFFF"/>
        </w:rPr>
        <w:t>about</w:t>
      </w:r>
      <w:proofErr w:type="spellEnd"/>
      <w:r w:rsidRPr="00E9480B">
        <w:rPr>
          <w:rFonts w:cstheme="minorHAnsi"/>
          <w:color w:val="000000" w:themeColor="text1"/>
          <w:shd w:val="clear" w:color="auto" w:fill="FFFFFF"/>
        </w:rPr>
        <w:t xml:space="preserve"> personal budgets in </w:t>
      </w:r>
      <w:proofErr w:type="spellStart"/>
      <w:r w:rsidRPr="00E9480B">
        <w:rPr>
          <w:rFonts w:cstheme="minorHAnsi"/>
          <w:color w:val="000000" w:themeColor="text1"/>
          <w:shd w:val="clear" w:color="auto" w:fill="FFFFFF"/>
        </w:rPr>
        <w:t>England</w:t>
      </w:r>
      <w:proofErr w:type="spellEnd"/>
      <w:r w:rsidRPr="00E9480B">
        <w:rPr>
          <w:rFonts w:cstheme="minorHAnsi"/>
          <w:color w:val="000000" w:themeColor="text1"/>
          <w:shd w:val="clear" w:color="auto" w:fill="FFFFFF"/>
        </w:rPr>
        <w:t xml:space="preserve">: smoke and </w:t>
      </w:r>
      <w:proofErr w:type="spellStart"/>
      <w:proofErr w:type="gramStart"/>
      <w:r w:rsidRPr="00E9480B">
        <w:rPr>
          <w:rFonts w:cstheme="minorHAnsi"/>
          <w:color w:val="000000" w:themeColor="text1"/>
          <w:shd w:val="clear" w:color="auto" w:fill="FFFFFF"/>
        </w:rPr>
        <w:t>mirrors</w:t>
      </w:r>
      <w:proofErr w:type="spellEnd"/>
      <w:r w:rsidRPr="00E9480B">
        <w:rPr>
          <w:rFonts w:cstheme="minorHAnsi"/>
          <w:color w:val="000000" w:themeColor="text1"/>
          <w:shd w:val="clear" w:color="auto" w:fill="FFFFFF"/>
        </w:rPr>
        <w:t>?.</w:t>
      </w:r>
      <w:proofErr w:type="gramEnd"/>
      <w:r w:rsidRPr="00E9480B">
        <w:rPr>
          <w:rFonts w:cstheme="minorHAnsi"/>
          <w:color w:val="000000" w:themeColor="text1"/>
          <w:shd w:val="clear" w:color="auto" w:fill="FFFFFF"/>
        </w:rPr>
        <w:t> </w:t>
      </w:r>
      <w:proofErr w:type="spellStart"/>
      <w:r w:rsidRPr="00E9480B">
        <w:rPr>
          <w:rFonts w:cstheme="minorHAnsi"/>
          <w:i/>
          <w:iCs/>
          <w:color w:val="000000" w:themeColor="text1"/>
          <w:shd w:val="clear" w:color="auto" w:fill="FFFFFF"/>
        </w:rPr>
        <w:t>Disability</w:t>
      </w:r>
      <w:proofErr w:type="spellEnd"/>
      <w:r w:rsidRPr="00E9480B">
        <w:rPr>
          <w:rFonts w:cstheme="minorHAnsi"/>
          <w:i/>
          <w:iCs/>
          <w:color w:val="000000" w:themeColor="text1"/>
          <w:shd w:val="clear" w:color="auto" w:fill="FFFFFF"/>
        </w:rPr>
        <w:t xml:space="preserve"> &amp; Society</w:t>
      </w:r>
      <w:r w:rsidRPr="00E9480B">
        <w:rPr>
          <w:rFonts w:cstheme="minorHAnsi"/>
          <w:color w:val="000000" w:themeColor="text1"/>
          <w:shd w:val="clear" w:color="auto" w:fill="FFFFFF"/>
        </w:rPr>
        <w:t>, </w:t>
      </w:r>
      <w:r w:rsidRPr="00E9480B">
        <w:rPr>
          <w:rFonts w:cstheme="minorHAnsi"/>
          <w:i/>
          <w:iCs/>
          <w:color w:val="000000" w:themeColor="text1"/>
          <w:shd w:val="clear" w:color="auto" w:fill="FFFFFF"/>
        </w:rPr>
        <w:t>31</w:t>
      </w:r>
      <w:r w:rsidRPr="00E9480B">
        <w:rPr>
          <w:rFonts w:cstheme="minorHAnsi"/>
          <w:color w:val="000000" w:themeColor="text1"/>
          <w:shd w:val="clear" w:color="auto" w:fill="FFFFFF"/>
        </w:rPr>
        <w:t>(8), 1132-1137.</w:t>
      </w:r>
    </w:p>
    <w:p w14:paraId="02B945C5" w14:textId="77777777" w:rsidR="00314DA8" w:rsidRPr="00C66A1D" w:rsidRDefault="00314DA8" w:rsidP="00314DA8">
      <w:pPr>
        <w:autoSpaceDE w:val="0"/>
        <w:autoSpaceDN w:val="0"/>
        <w:adjustRightInd w:val="0"/>
        <w:spacing w:after="120" w:line="240" w:lineRule="atLeast"/>
        <w:rPr>
          <w:rFonts w:cstheme="minorHAnsi"/>
          <w:color w:val="000000" w:themeColor="text1"/>
          <w:lang w:val="en-GB"/>
        </w:rPr>
      </w:pPr>
      <w:proofErr w:type="spellStart"/>
      <w:r w:rsidRPr="00E9480B">
        <w:rPr>
          <w:rFonts w:cstheme="minorHAnsi"/>
          <w:color w:val="000000" w:themeColor="text1"/>
          <w:lang w:val="en-GB"/>
        </w:rPr>
        <w:t>Stame</w:t>
      </w:r>
      <w:proofErr w:type="spellEnd"/>
      <w:r w:rsidRPr="00E9480B">
        <w:rPr>
          <w:rFonts w:cstheme="minorHAnsi"/>
          <w:color w:val="000000" w:themeColor="text1"/>
          <w:lang w:val="en-GB"/>
        </w:rPr>
        <w:t>, N. (2004) “Theory based evaluation and types of complexities”, Evaluation, 10 (1), pp. 58-76.</w:t>
      </w:r>
      <w:r w:rsidRPr="00C66A1D">
        <w:rPr>
          <w:rFonts w:cstheme="minorHAnsi"/>
          <w:color w:val="000000" w:themeColor="text1"/>
          <w:lang w:val="en-GB"/>
        </w:rPr>
        <w:t xml:space="preserve"> </w:t>
      </w:r>
    </w:p>
    <w:p w14:paraId="18B63823" w14:textId="77777777" w:rsidR="00314DA8" w:rsidRDefault="00314DA8" w:rsidP="00314DA8"/>
    <w:p w14:paraId="21945895" w14:textId="77777777" w:rsidR="00314DA8" w:rsidRDefault="00314DA8" w:rsidP="00314DA8"/>
    <w:p w14:paraId="531709A5" w14:textId="77777777" w:rsidR="00314DA8" w:rsidRDefault="00314DA8" w:rsidP="00314DA8"/>
    <w:p w14:paraId="4C843EDE" w14:textId="77777777" w:rsidR="00140DEE" w:rsidRPr="005F6C5F" w:rsidRDefault="00140DEE" w:rsidP="00393E33">
      <w:pPr>
        <w:spacing w:after="120" w:line="360" w:lineRule="auto"/>
        <w:jc w:val="both"/>
        <w:rPr>
          <w:b/>
          <w:color w:val="000000" w:themeColor="text1"/>
          <w:lang w:val="en-GB"/>
        </w:rPr>
      </w:pPr>
    </w:p>
    <w:sectPr w:rsidR="00140DEE" w:rsidRPr="005F6C5F">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52FAF" w14:textId="77777777" w:rsidR="009C31BC" w:rsidRDefault="009C31BC" w:rsidP="005D23FA">
      <w:pPr>
        <w:spacing w:after="0" w:line="240" w:lineRule="auto"/>
      </w:pPr>
      <w:r>
        <w:separator/>
      </w:r>
    </w:p>
  </w:endnote>
  <w:endnote w:type="continuationSeparator" w:id="0">
    <w:p w14:paraId="690C4F7B" w14:textId="77777777" w:rsidR="009C31BC" w:rsidRDefault="009C31BC" w:rsidP="005D2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mo">
    <w:charset w:val="00"/>
    <w:family w:val="auto"/>
    <w:pitch w:val="default"/>
    <w:sig w:usb0="E0000AFF" w:usb1="500078FF" w:usb2="00000021" w:usb3="00000000" w:csb0="600001BF" w:csb1="DFF7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4884902"/>
      <w:docPartObj>
        <w:docPartGallery w:val="Page Numbers (Bottom of Page)"/>
        <w:docPartUnique/>
      </w:docPartObj>
    </w:sdtPr>
    <w:sdtEndPr/>
    <w:sdtContent>
      <w:p w14:paraId="2645A4F0" w14:textId="77777777" w:rsidR="007B468F" w:rsidRDefault="007B468F">
        <w:pPr>
          <w:pStyle w:val="Pidipagina"/>
          <w:jc w:val="right"/>
        </w:pPr>
        <w:r>
          <w:fldChar w:fldCharType="begin"/>
        </w:r>
        <w:r>
          <w:instrText>PAGE   \* MERGEFORMAT</w:instrText>
        </w:r>
        <w:r>
          <w:fldChar w:fldCharType="separate"/>
        </w:r>
        <w:r>
          <w:t>2</w:t>
        </w:r>
        <w:r>
          <w:fldChar w:fldCharType="end"/>
        </w:r>
      </w:p>
    </w:sdtContent>
  </w:sdt>
  <w:p w14:paraId="58D557EA" w14:textId="77777777" w:rsidR="007B468F" w:rsidRDefault="007B468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3093C" w14:textId="77777777" w:rsidR="009C31BC" w:rsidRDefault="009C31BC" w:rsidP="005D23FA">
      <w:pPr>
        <w:spacing w:after="0" w:line="240" w:lineRule="auto"/>
      </w:pPr>
      <w:r>
        <w:separator/>
      </w:r>
    </w:p>
  </w:footnote>
  <w:footnote w:type="continuationSeparator" w:id="0">
    <w:p w14:paraId="10910B7B" w14:textId="77777777" w:rsidR="009C31BC" w:rsidRDefault="009C31BC" w:rsidP="005D23FA">
      <w:pPr>
        <w:spacing w:after="0" w:line="240" w:lineRule="auto"/>
      </w:pPr>
      <w:r>
        <w:continuationSeparator/>
      </w:r>
    </w:p>
  </w:footnote>
  <w:footnote w:id="1">
    <w:p w14:paraId="248BE7BB" w14:textId="77777777" w:rsidR="007B468F" w:rsidRDefault="007B468F" w:rsidP="005D23FA">
      <w:pPr>
        <w:pStyle w:val="Testonotaapidipagina"/>
      </w:pPr>
      <w:r>
        <w:rPr>
          <w:rStyle w:val="Rimandonotaapidipagina"/>
        </w:rPr>
        <w:footnoteRef/>
      </w:r>
      <w:r>
        <w:t xml:space="preserve"> </w:t>
      </w:r>
      <w:r w:rsidRPr="00E62656">
        <w:rPr>
          <w:lang w:val="en-GB"/>
        </w:rPr>
        <w:t>NHS continuing health care is a package of ongoing care for people with long-term health needs and which is solely funded by the NHS.</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8212B1"/>
    <w:multiLevelType w:val="hybridMultilevel"/>
    <w:tmpl w:val="7AE2B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4DF"/>
    <w:rsid w:val="00000584"/>
    <w:rsid w:val="00030B36"/>
    <w:rsid w:val="00040E87"/>
    <w:rsid w:val="00047DF7"/>
    <w:rsid w:val="00056BDA"/>
    <w:rsid w:val="000A3920"/>
    <w:rsid w:val="000B0F7C"/>
    <w:rsid w:val="000B1906"/>
    <w:rsid w:val="000C11FA"/>
    <w:rsid w:val="000C452E"/>
    <w:rsid w:val="000E5A82"/>
    <w:rsid w:val="001248B3"/>
    <w:rsid w:val="00137EE9"/>
    <w:rsid w:val="00140C11"/>
    <w:rsid w:val="00140DEE"/>
    <w:rsid w:val="00145223"/>
    <w:rsid w:val="0014611E"/>
    <w:rsid w:val="0015581E"/>
    <w:rsid w:val="00157675"/>
    <w:rsid w:val="001740B1"/>
    <w:rsid w:val="00175AC0"/>
    <w:rsid w:val="001D29D7"/>
    <w:rsid w:val="001E6D79"/>
    <w:rsid w:val="00214F8E"/>
    <w:rsid w:val="00217718"/>
    <w:rsid w:val="00234DE4"/>
    <w:rsid w:val="00244414"/>
    <w:rsid w:val="00250A8A"/>
    <w:rsid w:val="002510AA"/>
    <w:rsid w:val="0025472A"/>
    <w:rsid w:val="002C078A"/>
    <w:rsid w:val="002C643C"/>
    <w:rsid w:val="002D5259"/>
    <w:rsid w:val="002D52DA"/>
    <w:rsid w:val="002F72D9"/>
    <w:rsid w:val="0030064C"/>
    <w:rsid w:val="003143A0"/>
    <w:rsid w:val="00314DA8"/>
    <w:rsid w:val="00316A47"/>
    <w:rsid w:val="003277E1"/>
    <w:rsid w:val="00371A28"/>
    <w:rsid w:val="003834F9"/>
    <w:rsid w:val="00393E33"/>
    <w:rsid w:val="00394831"/>
    <w:rsid w:val="00395230"/>
    <w:rsid w:val="003C7077"/>
    <w:rsid w:val="00404B45"/>
    <w:rsid w:val="00444B61"/>
    <w:rsid w:val="00453EEC"/>
    <w:rsid w:val="0045412D"/>
    <w:rsid w:val="0046696E"/>
    <w:rsid w:val="00466BE0"/>
    <w:rsid w:val="00480EB6"/>
    <w:rsid w:val="00483FE6"/>
    <w:rsid w:val="004B1CDD"/>
    <w:rsid w:val="004D53F5"/>
    <w:rsid w:val="004D565D"/>
    <w:rsid w:val="004F4AE2"/>
    <w:rsid w:val="004F6566"/>
    <w:rsid w:val="004F79CB"/>
    <w:rsid w:val="00531A6D"/>
    <w:rsid w:val="005366AD"/>
    <w:rsid w:val="00576EF4"/>
    <w:rsid w:val="00592CB5"/>
    <w:rsid w:val="005B2E1D"/>
    <w:rsid w:val="005D23FA"/>
    <w:rsid w:val="005D25AD"/>
    <w:rsid w:val="005D66A5"/>
    <w:rsid w:val="005E3054"/>
    <w:rsid w:val="005F6C5F"/>
    <w:rsid w:val="0060704D"/>
    <w:rsid w:val="0060780F"/>
    <w:rsid w:val="00616C8B"/>
    <w:rsid w:val="006C475E"/>
    <w:rsid w:val="006D1B3A"/>
    <w:rsid w:val="006D1D22"/>
    <w:rsid w:val="0074065D"/>
    <w:rsid w:val="0075193B"/>
    <w:rsid w:val="007612D3"/>
    <w:rsid w:val="007A0555"/>
    <w:rsid w:val="007A36DF"/>
    <w:rsid w:val="007A7843"/>
    <w:rsid w:val="007B468F"/>
    <w:rsid w:val="007B52CD"/>
    <w:rsid w:val="007B5A9E"/>
    <w:rsid w:val="007D34AC"/>
    <w:rsid w:val="007E2CAD"/>
    <w:rsid w:val="00802DF7"/>
    <w:rsid w:val="00872D83"/>
    <w:rsid w:val="00876023"/>
    <w:rsid w:val="0088256B"/>
    <w:rsid w:val="0089237B"/>
    <w:rsid w:val="00892A9A"/>
    <w:rsid w:val="008E39FC"/>
    <w:rsid w:val="008F2246"/>
    <w:rsid w:val="008F63A6"/>
    <w:rsid w:val="009055D3"/>
    <w:rsid w:val="00915CB5"/>
    <w:rsid w:val="009330D8"/>
    <w:rsid w:val="009B1C94"/>
    <w:rsid w:val="009C31BC"/>
    <w:rsid w:val="009F62BC"/>
    <w:rsid w:val="00A119D9"/>
    <w:rsid w:val="00A2285F"/>
    <w:rsid w:val="00A30418"/>
    <w:rsid w:val="00A54443"/>
    <w:rsid w:val="00A70E85"/>
    <w:rsid w:val="00A75BC5"/>
    <w:rsid w:val="00AB0803"/>
    <w:rsid w:val="00AC30E2"/>
    <w:rsid w:val="00AE4BD8"/>
    <w:rsid w:val="00AE63A1"/>
    <w:rsid w:val="00AF39D0"/>
    <w:rsid w:val="00B1289F"/>
    <w:rsid w:val="00B16CD4"/>
    <w:rsid w:val="00B8178F"/>
    <w:rsid w:val="00BD2D05"/>
    <w:rsid w:val="00C03A9E"/>
    <w:rsid w:val="00C167F6"/>
    <w:rsid w:val="00C1789D"/>
    <w:rsid w:val="00C2017C"/>
    <w:rsid w:val="00C271F0"/>
    <w:rsid w:val="00C31C2F"/>
    <w:rsid w:val="00C35525"/>
    <w:rsid w:val="00C44B15"/>
    <w:rsid w:val="00C55A86"/>
    <w:rsid w:val="00C66D55"/>
    <w:rsid w:val="00C7179F"/>
    <w:rsid w:val="00C71827"/>
    <w:rsid w:val="00C73688"/>
    <w:rsid w:val="00C8402C"/>
    <w:rsid w:val="00CB2078"/>
    <w:rsid w:val="00CC64AC"/>
    <w:rsid w:val="00D13B1F"/>
    <w:rsid w:val="00D16E0E"/>
    <w:rsid w:val="00D647BE"/>
    <w:rsid w:val="00D727FB"/>
    <w:rsid w:val="00D94418"/>
    <w:rsid w:val="00D95FC5"/>
    <w:rsid w:val="00DA6F3B"/>
    <w:rsid w:val="00DD00B8"/>
    <w:rsid w:val="00DD4F3C"/>
    <w:rsid w:val="00E10836"/>
    <w:rsid w:val="00E10F75"/>
    <w:rsid w:val="00E5160E"/>
    <w:rsid w:val="00E83806"/>
    <w:rsid w:val="00E9277F"/>
    <w:rsid w:val="00E93D80"/>
    <w:rsid w:val="00EC2D56"/>
    <w:rsid w:val="00EC54D1"/>
    <w:rsid w:val="00ED235B"/>
    <w:rsid w:val="00F10EBC"/>
    <w:rsid w:val="00F3422B"/>
    <w:rsid w:val="00F63CEC"/>
    <w:rsid w:val="00F6541B"/>
    <w:rsid w:val="00F714DF"/>
    <w:rsid w:val="00F72749"/>
    <w:rsid w:val="00F84084"/>
    <w:rsid w:val="00F93F42"/>
    <w:rsid w:val="00F96168"/>
    <w:rsid w:val="00FA2D0E"/>
    <w:rsid w:val="00FE061C"/>
    <w:rsid w:val="00FE52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1323D"/>
  <w15:chartTrackingRefBased/>
  <w15:docId w15:val="{280AA301-3164-47A3-873A-AA14D62BE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D23F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5D23F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D23FA"/>
    <w:rPr>
      <w:sz w:val="20"/>
      <w:szCs w:val="20"/>
    </w:rPr>
  </w:style>
  <w:style w:type="character" w:styleId="Rimandonotaapidipagina">
    <w:name w:val="footnote reference"/>
    <w:basedOn w:val="Carpredefinitoparagrafo"/>
    <w:uiPriority w:val="99"/>
    <w:semiHidden/>
    <w:unhideWhenUsed/>
    <w:rsid w:val="005D23FA"/>
    <w:rPr>
      <w:vertAlign w:val="superscript"/>
    </w:rPr>
  </w:style>
  <w:style w:type="paragraph" w:styleId="Pidipagina">
    <w:name w:val="footer"/>
    <w:basedOn w:val="Normale"/>
    <w:link w:val="PidipaginaCarattere"/>
    <w:uiPriority w:val="99"/>
    <w:unhideWhenUsed/>
    <w:rsid w:val="005D23F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D23FA"/>
  </w:style>
  <w:style w:type="paragraph" w:styleId="Testofumetto">
    <w:name w:val="Balloon Text"/>
    <w:basedOn w:val="Normale"/>
    <w:link w:val="TestofumettoCarattere"/>
    <w:uiPriority w:val="99"/>
    <w:semiHidden/>
    <w:unhideWhenUsed/>
    <w:rsid w:val="00404B4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04B45"/>
    <w:rPr>
      <w:rFonts w:ascii="Segoe UI" w:hAnsi="Segoe UI" w:cs="Segoe UI"/>
      <w:sz w:val="18"/>
      <w:szCs w:val="18"/>
    </w:rPr>
  </w:style>
  <w:style w:type="paragraph" w:styleId="Paragrafoelenco">
    <w:name w:val="List Paragraph"/>
    <w:basedOn w:val="Normale"/>
    <w:uiPriority w:val="34"/>
    <w:qFormat/>
    <w:rsid w:val="00056BDA"/>
    <w:pPr>
      <w:ind w:left="720"/>
      <w:contextualSpacing/>
    </w:pPr>
  </w:style>
  <w:style w:type="character" w:styleId="Collegamentoipertestuale">
    <w:name w:val="Hyperlink"/>
    <w:basedOn w:val="Carpredefinitoparagrafo"/>
    <w:uiPriority w:val="99"/>
    <w:unhideWhenUsed/>
    <w:rsid w:val="00314D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eforwelfarereform.org/library/by-az/is-personalisation-dead.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054DA-0517-4B58-A719-5C121539D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1396</TotalTime>
  <Pages>17</Pages>
  <Words>7847</Words>
  <Characters>44732</Characters>
  <Application>Microsoft Office Word</Application>
  <DocSecurity>0</DocSecurity>
  <Lines>372</Lines>
  <Paragraphs>104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dc:creator>
  <cp:keywords/>
  <dc:description/>
  <cp:lastModifiedBy>Fra</cp:lastModifiedBy>
  <cp:revision>75</cp:revision>
  <cp:lastPrinted>2019-05-27T19:09:00Z</cp:lastPrinted>
  <dcterms:created xsi:type="dcterms:W3CDTF">2019-05-21T13:25:00Z</dcterms:created>
  <dcterms:modified xsi:type="dcterms:W3CDTF">2019-05-31T14:49:00Z</dcterms:modified>
</cp:coreProperties>
</file>