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4890" w:rsidRPr="00614890" w:rsidRDefault="00614890" w:rsidP="00614890">
      <w:pPr>
        <w:rPr>
          <w:rFonts w:ascii="Times New Roman" w:hAnsi="Times New Roman" w:cs="Times New Roman"/>
          <w:b/>
        </w:rPr>
      </w:pPr>
      <w:r>
        <w:rPr>
          <w:rFonts w:ascii="Times New Roman" w:hAnsi="Times New Roman" w:cs="Times New Roman"/>
          <w:b/>
        </w:rPr>
        <w:t xml:space="preserve">TITLE: </w:t>
      </w:r>
      <w:r w:rsidR="002F2633" w:rsidRPr="00614890">
        <w:rPr>
          <w:rFonts w:ascii="Times New Roman" w:hAnsi="Times New Roman" w:cs="Times New Roman"/>
          <w:b/>
        </w:rPr>
        <w:t>Marketisation of community aged care services in Australia. Insights into how rural managers and consumers navigate this context</w:t>
      </w:r>
    </w:p>
    <w:p w:rsidR="00614890" w:rsidRDefault="00614890" w:rsidP="00614890">
      <w:pPr>
        <w:rPr>
          <w:b/>
        </w:rPr>
      </w:pPr>
    </w:p>
    <w:p w:rsidR="00614890" w:rsidRDefault="00614890" w:rsidP="00614890">
      <w:pPr>
        <w:rPr>
          <w:sz w:val="22"/>
          <w:szCs w:val="22"/>
          <w:bdr w:val="none" w:sz="0" w:space="0" w:color="auto" w:frame="1"/>
        </w:rPr>
      </w:pPr>
      <w:r>
        <w:rPr>
          <w:b/>
        </w:rPr>
        <w:t>Suzanne Hodgkin</w:t>
      </w:r>
      <w:r>
        <w:t xml:space="preserve"> (PhD)</w:t>
      </w:r>
    </w:p>
    <w:p w:rsidR="00614890" w:rsidRDefault="00614890" w:rsidP="00614890">
      <w:pPr>
        <w:rPr>
          <w:lang w:val="en-US"/>
        </w:rPr>
      </w:pPr>
      <w:r>
        <w:t>Associate Professor,</w:t>
      </w:r>
    </w:p>
    <w:p w:rsidR="00614890" w:rsidRDefault="00614890" w:rsidP="00614890">
      <w:pPr>
        <w:autoSpaceDE w:val="0"/>
        <w:autoSpaceDN w:val="0"/>
      </w:pPr>
      <w:r>
        <w:t xml:space="preserve">John Richards Centre for Rural Ageing Research, La Trobe Rural Health School </w:t>
      </w:r>
    </w:p>
    <w:p w:rsidR="00614890" w:rsidRDefault="00614890" w:rsidP="00614890">
      <w:r>
        <w:t>La Trobe University.</w:t>
      </w:r>
    </w:p>
    <w:p w:rsidR="00614890" w:rsidRDefault="00614890" w:rsidP="00614890">
      <w:pPr>
        <w:autoSpaceDE w:val="0"/>
        <w:autoSpaceDN w:val="0"/>
      </w:pPr>
      <w:r>
        <w:t>PO Box 821 Wodonga VIC 3689 Australia</w:t>
      </w:r>
    </w:p>
    <w:p w:rsidR="00614890" w:rsidRDefault="00614890" w:rsidP="00614890">
      <w:pPr>
        <w:autoSpaceDE w:val="0"/>
        <w:autoSpaceDN w:val="0"/>
      </w:pPr>
      <w:r>
        <w:rPr>
          <w:b/>
        </w:rPr>
        <w:t>T:</w:t>
      </w:r>
      <w:r>
        <w:t xml:space="preserve"> +61260249814 </w:t>
      </w:r>
      <w:r>
        <w:rPr>
          <w:b/>
        </w:rPr>
        <w:t>F</w:t>
      </w:r>
      <w:r>
        <w:t>: +61260249737</w:t>
      </w:r>
    </w:p>
    <w:p w:rsidR="00614890" w:rsidRDefault="00614890" w:rsidP="00614890">
      <w:pPr>
        <w:autoSpaceDE w:val="0"/>
        <w:autoSpaceDN w:val="0"/>
      </w:pPr>
      <w:r>
        <w:rPr>
          <w:b/>
        </w:rPr>
        <w:t>E</w:t>
      </w:r>
      <w:r>
        <w:t xml:space="preserve">:  </w:t>
      </w:r>
      <w:hyperlink r:id="rId7" w:history="1">
        <w:r>
          <w:rPr>
            <w:rStyle w:val="Hyperlink"/>
          </w:rPr>
          <w:t>s.hodgkin@latrobe.edu.au</w:t>
        </w:r>
      </w:hyperlink>
    </w:p>
    <w:p w:rsidR="00614890" w:rsidRDefault="00614890" w:rsidP="00614890">
      <w:pPr>
        <w:rPr>
          <w:b/>
          <w:lang w:eastAsia="en-AU"/>
        </w:rPr>
      </w:pPr>
    </w:p>
    <w:p w:rsidR="00614890" w:rsidRDefault="00614890" w:rsidP="00614890">
      <w:pPr>
        <w:rPr>
          <w:sz w:val="22"/>
          <w:szCs w:val="22"/>
          <w:bdr w:val="none" w:sz="0" w:space="0" w:color="auto" w:frame="1"/>
          <w:lang w:eastAsia="en-AU"/>
        </w:rPr>
      </w:pPr>
      <w:r>
        <w:rPr>
          <w:b/>
          <w:lang w:eastAsia="en-AU"/>
        </w:rPr>
        <w:t>Pauline Savy</w:t>
      </w:r>
      <w:r>
        <w:rPr>
          <w:lang w:eastAsia="en-AU"/>
        </w:rPr>
        <w:t xml:space="preserve"> (PhD)</w:t>
      </w:r>
    </w:p>
    <w:p w:rsidR="00614890" w:rsidRDefault="00614890" w:rsidP="00614890">
      <w:pPr>
        <w:rPr>
          <w:lang w:val="en-US" w:eastAsia="en-AU"/>
        </w:rPr>
      </w:pPr>
      <w:r>
        <w:rPr>
          <w:lang w:eastAsia="en-AU"/>
        </w:rPr>
        <w:t>Research Officer</w:t>
      </w:r>
    </w:p>
    <w:p w:rsidR="00614890" w:rsidRDefault="00614890" w:rsidP="00614890">
      <w:pPr>
        <w:autoSpaceDE w:val="0"/>
        <w:autoSpaceDN w:val="0"/>
      </w:pPr>
      <w:r>
        <w:t xml:space="preserve">John Richards Centre for Rural Ageing Research, La Trobe Rural Health School </w:t>
      </w:r>
    </w:p>
    <w:p w:rsidR="00614890" w:rsidRDefault="00614890" w:rsidP="00614890">
      <w:r>
        <w:t>La Trobe University.</w:t>
      </w:r>
    </w:p>
    <w:p w:rsidR="00614890" w:rsidRDefault="00614890" w:rsidP="00614890">
      <w:pPr>
        <w:autoSpaceDE w:val="0"/>
        <w:autoSpaceDN w:val="0"/>
      </w:pPr>
      <w:r>
        <w:t>PO Box 821 Wodonga VIC 3689 Australia</w:t>
      </w:r>
    </w:p>
    <w:p w:rsidR="00614890" w:rsidRDefault="00614890" w:rsidP="00614890">
      <w:pPr>
        <w:autoSpaceDE w:val="0"/>
        <w:autoSpaceDN w:val="0"/>
      </w:pPr>
      <w:r>
        <w:rPr>
          <w:b/>
        </w:rPr>
        <w:t>T:</w:t>
      </w:r>
      <w:r>
        <w:t xml:space="preserve"> 0419230699 </w:t>
      </w:r>
      <w:r>
        <w:rPr>
          <w:b/>
        </w:rPr>
        <w:t>F</w:t>
      </w:r>
      <w:r>
        <w:t>: +61260249737</w:t>
      </w:r>
    </w:p>
    <w:p w:rsidR="00614890" w:rsidRDefault="00614890" w:rsidP="00614890">
      <w:pPr>
        <w:autoSpaceDE w:val="0"/>
        <w:autoSpaceDN w:val="0"/>
      </w:pPr>
      <w:r>
        <w:rPr>
          <w:b/>
        </w:rPr>
        <w:t>E</w:t>
      </w:r>
      <w:r>
        <w:t xml:space="preserve">:  </w:t>
      </w:r>
      <w:hyperlink r:id="rId8" w:history="1">
        <w:r>
          <w:rPr>
            <w:rStyle w:val="Hyperlink"/>
          </w:rPr>
          <w:t>p.savy@latrobe.edu.au</w:t>
        </w:r>
      </w:hyperlink>
    </w:p>
    <w:p w:rsidR="00614890" w:rsidRDefault="00614890" w:rsidP="00614890">
      <w:pPr>
        <w:autoSpaceDE w:val="0"/>
        <w:autoSpaceDN w:val="0"/>
        <w:rPr>
          <w:b/>
          <w:color w:val="1F497D"/>
          <w:sz w:val="22"/>
          <w:szCs w:val="22"/>
        </w:rPr>
      </w:pPr>
    </w:p>
    <w:p w:rsidR="00614890" w:rsidRDefault="00614890" w:rsidP="00614890">
      <w:pPr>
        <w:autoSpaceDE w:val="0"/>
        <w:autoSpaceDN w:val="0"/>
        <w:rPr>
          <w:color w:val="000000" w:themeColor="text1"/>
        </w:rPr>
      </w:pPr>
      <w:r>
        <w:rPr>
          <w:b/>
          <w:color w:val="000000" w:themeColor="text1"/>
        </w:rPr>
        <w:t>Samantha Clune</w:t>
      </w:r>
      <w:r>
        <w:rPr>
          <w:color w:val="000000" w:themeColor="text1"/>
        </w:rPr>
        <w:t xml:space="preserve"> (PhD)</w:t>
      </w:r>
    </w:p>
    <w:p w:rsidR="00614890" w:rsidRDefault="00614890" w:rsidP="00614890">
      <w:pPr>
        <w:autoSpaceDE w:val="0"/>
        <w:autoSpaceDN w:val="0"/>
        <w:rPr>
          <w:color w:val="000000" w:themeColor="text1"/>
        </w:rPr>
      </w:pPr>
      <w:r>
        <w:rPr>
          <w:color w:val="000000" w:themeColor="text1"/>
        </w:rPr>
        <w:t>Research Officer</w:t>
      </w:r>
    </w:p>
    <w:p w:rsidR="00614890" w:rsidRDefault="00614890" w:rsidP="00614890">
      <w:pPr>
        <w:autoSpaceDE w:val="0"/>
        <w:autoSpaceDN w:val="0"/>
      </w:pPr>
      <w:r>
        <w:t xml:space="preserve">John Richards Centre for Rural Ageing Research, La Trobe Rural Health School </w:t>
      </w:r>
    </w:p>
    <w:p w:rsidR="00614890" w:rsidRDefault="00614890" w:rsidP="00614890">
      <w:r>
        <w:t>La Trobe University.</w:t>
      </w:r>
    </w:p>
    <w:p w:rsidR="00614890" w:rsidRDefault="00614890" w:rsidP="00614890">
      <w:pPr>
        <w:autoSpaceDE w:val="0"/>
        <w:autoSpaceDN w:val="0"/>
      </w:pPr>
      <w:r>
        <w:t>PO Box 821 Wodonga VIC 3689 Australia</w:t>
      </w:r>
    </w:p>
    <w:p w:rsidR="00614890" w:rsidRDefault="00614890" w:rsidP="00614890">
      <w:pPr>
        <w:autoSpaceDE w:val="0"/>
        <w:autoSpaceDN w:val="0"/>
        <w:rPr>
          <w:rFonts w:eastAsia="Times New Roman"/>
          <w:color w:val="000000"/>
          <w:sz w:val="22"/>
          <w:szCs w:val="22"/>
        </w:rPr>
      </w:pPr>
      <w:r>
        <w:rPr>
          <w:rFonts w:eastAsia="Times New Roman"/>
          <w:b/>
          <w:color w:val="000000"/>
          <w:sz w:val="22"/>
          <w:szCs w:val="22"/>
        </w:rPr>
        <w:t>T</w:t>
      </w:r>
      <w:r>
        <w:rPr>
          <w:rFonts w:eastAsia="Times New Roman"/>
          <w:color w:val="000000"/>
          <w:sz w:val="22"/>
          <w:szCs w:val="22"/>
        </w:rPr>
        <w:t>: 02 6024 9720 | F: 02 6024 9737</w:t>
      </w:r>
    </w:p>
    <w:p w:rsidR="00614890" w:rsidRDefault="00614890" w:rsidP="00614890">
      <w:pPr>
        <w:autoSpaceDE w:val="0"/>
        <w:autoSpaceDN w:val="0"/>
        <w:rPr>
          <w:rFonts w:ascii="Calibri" w:eastAsia="Times New Roman" w:hAnsi="Calibri" w:cs="Calibri"/>
          <w:color w:val="000000"/>
          <w:sz w:val="22"/>
          <w:szCs w:val="22"/>
        </w:rPr>
      </w:pPr>
      <w:r>
        <w:rPr>
          <w:rFonts w:eastAsia="Times New Roman"/>
          <w:b/>
          <w:color w:val="000000"/>
          <w:sz w:val="22"/>
          <w:szCs w:val="22"/>
        </w:rPr>
        <w:t>E</w:t>
      </w:r>
      <w:r>
        <w:rPr>
          <w:rFonts w:eastAsia="Times New Roman"/>
          <w:color w:val="000000"/>
          <w:sz w:val="22"/>
          <w:szCs w:val="22"/>
        </w:rPr>
        <w:t xml:space="preserve">: </w:t>
      </w:r>
      <w:hyperlink r:id="rId9" w:history="1">
        <w:r>
          <w:rPr>
            <w:rStyle w:val="Hyperlink"/>
            <w:rFonts w:eastAsia="Times New Roman"/>
            <w:sz w:val="22"/>
            <w:szCs w:val="22"/>
          </w:rPr>
          <w:t>s.clune@latrobe.edu.au</w:t>
        </w:r>
      </w:hyperlink>
      <w:r>
        <w:rPr>
          <w:rFonts w:ascii="Calibri" w:eastAsia="Times New Roman" w:hAnsi="Calibri" w:cs="Calibri"/>
          <w:color w:val="000000"/>
          <w:sz w:val="22"/>
          <w:szCs w:val="22"/>
        </w:rPr>
        <w:t xml:space="preserve">  </w:t>
      </w:r>
    </w:p>
    <w:p w:rsidR="00614890" w:rsidRDefault="00614890" w:rsidP="00614890">
      <w:pPr>
        <w:autoSpaceDE w:val="0"/>
        <w:autoSpaceDN w:val="0"/>
        <w:rPr>
          <w:color w:val="000000" w:themeColor="text1"/>
        </w:rPr>
      </w:pPr>
      <w:r>
        <w:rPr>
          <w:b/>
          <w:color w:val="000000" w:themeColor="text1"/>
        </w:rPr>
        <w:t>Anne-Marie Mahoney</w:t>
      </w:r>
      <w:r>
        <w:rPr>
          <w:color w:val="000000" w:themeColor="text1"/>
        </w:rPr>
        <w:t xml:space="preserve"> (PhD)</w:t>
      </w:r>
    </w:p>
    <w:p w:rsidR="00614890" w:rsidRDefault="00614890" w:rsidP="00614890">
      <w:pPr>
        <w:rPr>
          <w:color w:val="000000" w:themeColor="text1"/>
          <w:bdr w:val="none" w:sz="0" w:space="0" w:color="auto" w:frame="1"/>
        </w:rPr>
      </w:pPr>
      <w:r>
        <w:rPr>
          <w:color w:val="000000" w:themeColor="text1"/>
        </w:rPr>
        <w:t>Lecturer in Nursing</w:t>
      </w:r>
    </w:p>
    <w:p w:rsidR="00614890" w:rsidRDefault="00614890" w:rsidP="00614890">
      <w:pPr>
        <w:rPr>
          <w:color w:val="000000" w:themeColor="text1"/>
          <w:lang w:val="en-US"/>
        </w:rPr>
      </w:pPr>
      <w:r>
        <w:rPr>
          <w:color w:val="000000" w:themeColor="text1"/>
        </w:rPr>
        <w:t>Rural Department Nursing &amp; Midwifery</w:t>
      </w:r>
    </w:p>
    <w:p w:rsidR="00614890" w:rsidRDefault="00614890" w:rsidP="00614890">
      <w:pPr>
        <w:rPr>
          <w:color w:val="000000" w:themeColor="text1"/>
        </w:rPr>
      </w:pPr>
      <w:r>
        <w:rPr>
          <w:color w:val="000000" w:themeColor="text1"/>
        </w:rPr>
        <w:t xml:space="preserve">College of Science, Health and Engineering </w:t>
      </w:r>
    </w:p>
    <w:p w:rsidR="00614890" w:rsidRDefault="00614890" w:rsidP="00614890">
      <w:pPr>
        <w:rPr>
          <w:color w:val="000000" w:themeColor="text1"/>
        </w:rPr>
      </w:pPr>
      <w:r>
        <w:rPr>
          <w:color w:val="000000" w:themeColor="text1"/>
        </w:rPr>
        <w:t xml:space="preserve">La Trobe University Wodonga 3690 </w:t>
      </w:r>
    </w:p>
    <w:p w:rsidR="00614890" w:rsidRDefault="00614890" w:rsidP="00614890">
      <w:pPr>
        <w:autoSpaceDE w:val="0"/>
        <w:autoSpaceDN w:val="0"/>
        <w:rPr>
          <w:color w:val="1F497D"/>
          <w:sz w:val="22"/>
          <w:szCs w:val="22"/>
        </w:rPr>
      </w:pPr>
      <w:r>
        <w:rPr>
          <w:b/>
          <w:color w:val="000000" w:themeColor="text1"/>
        </w:rPr>
        <w:t>T</w:t>
      </w:r>
      <w:r>
        <w:rPr>
          <w:color w:val="000000" w:themeColor="text1"/>
        </w:rPr>
        <w:t xml:space="preserve">: 02 60249725 I </w:t>
      </w:r>
      <w:r>
        <w:rPr>
          <w:b/>
          <w:color w:val="000000" w:themeColor="text1"/>
        </w:rPr>
        <w:t>F</w:t>
      </w:r>
      <w:r>
        <w:rPr>
          <w:color w:val="000000" w:themeColor="text1"/>
        </w:rPr>
        <w:t>: 02 60249737</w:t>
      </w:r>
      <w:r>
        <w:rPr>
          <w:color w:val="000000" w:themeColor="text1"/>
          <w:sz w:val="22"/>
          <w:szCs w:val="22"/>
        </w:rPr>
        <w:t xml:space="preserve"> </w:t>
      </w:r>
    </w:p>
    <w:p w:rsidR="00614890" w:rsidRPr="00E03B91" w:rsidRDefault="00614890" w:rsidP="00E03B91">
      <w:pPr>
        <w:autoSpaceDE w:val="0"/>
        <w:autoSpaceDN w:val="0"/>
        <w:rPr>
          <w:color w:val="1F497D"/>
          <w:sz w:val="22"/>
          <w:szCs w:val="22"/>
        </w:rPr>
      </w:pPr>
      <w:r>
        <w:rPr>
          <w:b/>
          <w:color w:val="000000" w:themeColor="text1"/>
          <w:sz w:val="22"/>
          <w:szCs w:val="22"/>
        </w:rPr>
        <w:t>E</w:t>
      </w:r>
      <w:r>
        <w:rPr>
          <w:color w:val="1F497D"/>
          <w:sz w:val="22"/>
          <w:szCs w:val="22"/>
        </w:rPr>
        <w:t xml:space="preserve">: </w:t>
      </w:r>
      <w:hyperlink r:id="rId10" w:history="1">
        <w:r>
          <w:rPr>
            <w:rStyle w:val="Hyperlink"/>
            <w:sz w:val="22"/>
            <w:szCs w:val="22"/>
          </w:rPr>
          <w:t>a.mahoney@latrobe.edu.au</w:t>
        </w:r>
      </w:hyperlink>
      <w:r>
        <w:rPr>
          <w:color w:val="1F497D"/>
          <w:sz w:val="22"/>
          <w:szCs w:val="22"/>
        </w:rPr>
        <w:t xml:space="preserve"> </w:t>
      </w:r>
      <w:r>
        <w:rPr>
          <w:b/>
        </w:rPr>
        <w:br w:type="page"/>
      </w:r>
    </w:p>
    <w:p w:rsidR="002F2633" w:rsidRDefault="002F2633" w:rsidP="00375CD0">
      <w:pPr>
        <w:rPr>
          <w:b/>
        </w:rPr>
      </w:pPr>
      <w:r>
        <w:rPr>
          <w:b/>
        </w:rPr>
        <w:t>Abstract</w:t>
      </w:r>
    </w:p>
    <w:p w:rsidR="002F2633" w:rsidRPr="00614890" w:rsidRDefault="002F2633" w:rsidP="001D46F8">
      <w:pPr>
        <w:rPr>
          <w:rFonts w:ascii="Times New Roman" w:hAnsi="Times New Roman" w:cs="Times New Roman"/>
        </w:rPr>
      </w:pPr>
      <w:r w:rsidRPr="00614890">
        <w:rPr>
          <w:rFonts w:ascii="Times New Roman" w:hAnsi="Times New Roman" w:cs="Times New Roman"/>
        </w:rPr>
        <w:t>Across several OECD countries, aged care policy has been influenced by neo-liberal, free market philosophies. This is illustrated in the introduction of variations of cash for care schemes in community care services. Australia provides a recent case example with the introduction of a Consumer Directed Care (CDC) program. This marketised model with its clear definition of community-based care recipients as consumers, and care as a commodity, has effectively re-located the publicly funded aged-care system into the private, commercial sphere. In this environment providers market their services and procure and broker other services. As a consequence, Australian aged care services operate in a maze-like competitive environment. This paper draws from a qualitative study conducted in rural Australia, examining the introduction of CDC and seeks to examine how consumers and managers navigate this context. The equivocal outcomes illustrate the challenges associated with providing and accessing services in limited rural markets.</w:t>
      </w:r>
    </w:p>
    <w:p w:rsidR="002F2633" w:rsidRPr="00643C54" w:rsidRDefault="002F2633" w:rsidP="001D46F8">
      <w:pPr>
        <w:rPr>
          <w:rFonts w:ascii="Times New Roman" w:hAnsi="Times New Roman" w:cs="Times New Roman"/>
          <w:b/>
        </w:rPr>
      </w:pPr>
    </w:p>
    <w:p w:rsidR="002F2633" w:rsidRPr="00AA64B9" w:rsidRDefault="002F2633" w:rsidP="00375CD0">
      <w:pPr>
        <w:rPr>
          <w:b/>
        </w:rPr>
      </w:pPr>
      <w:r w:rsidRPr="00AA64B9">
        <w:rPr>
          <w:b/>
        </w:rPr>
        <w:t>Key words</w:t>
      </w:r>
    </w:p>
    <w:p w:rsidR="002F2633" w:rsidRPr="00B52C3F" w:rsidRDefault="002F2633" w:rsidP="00375CD0">
      <w:r>
        <w:t>Consumer directed care, marketization, aged care policy, rural</w:t>
      </w:r>
    </w:p>
    <w:p w:rsidR="002F2633" w:rsidRDefault="002F2633">
      <w:pPr>
        <w:spacing w:after="160" w:line="259" w:lineRule="auto"/>
        <w:jc w:val="left"/>
        <w:rPr>
          <w:rFonts w:ascii="Times New Roman" w:hAnsi="Times New Roman" w:cs="Times New Roman"/>
          <w:b/>
        </w:rPr>
      </w:pPr>
      <w:r>
        <w:rPr>
          <w:rFonts w:ascii="Times New Roman" w:hAnsi="Times New Roman" w:cs="Times New Roman"/>
          <w:b/>
        </w:rPr>
        <w:br w:type="page"/>
      </w:r>
    </w:p>
    <w:p w:rsidR="002F2633" w:rsidRPr="007C1483" w:rsidRDefault="002F2633" w:rsidP="00375CD0">
      <w:pPr>
        <w:rPr>
          <w:rFonts w:ascii="Times New Roman" w:hAnsi="Times New Roman" w:cs="Times New Roman"/>
          <w:b/>
        </w:rPr>
      </w:pPr>
      <w:r w:rsidRPr="007C1483">
        <w:rPr>
          <w:rFonts w:ascii="Times New Roman" w:hAnsi="Times New Roman" w:cs="Times New Roman"/>
          <w:b/>
        </w:rPr>
        <w:lastRenderedPageBreak/>
        <w:t>Introduction</w:t>
      </w:r>
    </w:p>
    <w:p w:rsidR="002F2633" w:rsidRDefault="002F2633" w:rsidP="00375CD0">
      <w:pPr>
        <w:rPr>
          <w:rFonts w:ascii="Times New Roman"/>
        </w:rPr>
      </w:pPr>
      <w:r>
        <w:rPr>
          <w:rFonts w:ascii="Times New Roman" w:hAnsi="Times New Roman" w:cs="Times New Roman"/>
        </w:rPr>
        <w:t xml:space="preserve">Rising costs in public expenditure in aged care </w:t>
      </w:r>
      <w:r>
        <w:rPr>
          <w:rFonts w:ascii="Times New Roman"/>
        </w:rPr>
        <w:t xml:space="preserve">have induced </w:t>
      </w:r>
      <w:r w:rsidRPr="00424170">
        <w:rPr>
          <w:rFonts w:ascii="Times New Roman"/>
        </w:rPr>
        <w:t xml:space="preserve">several OECD countries </w:t>
      </w:r>
      <w:r>
        <w:rPr>
          <w:rFonts w:ascii="Times New Roman"/>
        </w:rPr>
        <w:t>to turn to the market and market mechanisms to deliver services. The influence of neo-liberalism and the proclaimed superiority of the market in providing choice, has increased the for-profit sector</w:t>
      </w:r>
      <w:r>
        <w:rPr>
          <w:rFonts w:ascii="Times New Roman"/>
        </w:rPr>
        <w:t>’</w:t>
      </w:r>
      <w:r>
        <w:rPr>
          <w:rFonts w:ascii="Times New Roman"/>
        </w:rPr>
        <w:t xml:space="preserve">s stake in the ownership and management of residential care </w:t>
      </w:r>
      <w:r>
        <w:rPr>
          <w:rFonts w:ascii="Times New Roman"/>
          <w:noProof/>
        </w:rPr>
        <w:t>(Kaine and Green, 2013)</w:t>
      </w:r>
      <w:r>
        <w:rPr>
          <w:rFonts w:ascii="Times New Roman"/>
        </w:rPr>
        <w:t xml:space="preserve">. More recently, several countries have introduced market- oriented reforms in the community aged care sector </w:t>
      </w:r>
      <w:r>
        <w:rPr>
          <w:rFonts w:ascii="Times New Roman"/>
          <w:noProof/>
        </w:rPr>
        <w:t>(Theobald et al., 2018)</w:t>
      </w:r>
      <w:r>
        <w:rPr>
          <w:rFonts w:ascii="Times New Roman"/>
        </w:rPr>
        <w:t>.</w:t>
      </w:r>
      <w:r w:rsidRPr="00DF6B0A">
        <w:rPr>
          <w:rFonts w:ascii="Times New Roman"/>
        </w:rPr>
        <w:t xml:space="preserve"> </w:t>
      </w:r>
      <w:r>
        <w:rPr>
          <w:rFonts w:ascii="Times New Roman"/>
        </w:rPr>
        <w:t xml:space="preserve">Contained in policy approaches such as New Public Management and couched in the language of consumer rights, variations of consumer directed care (CDC) programs have been introduced in countries such as England, Japan, Germany and Sweden. Often termed </w:t>
      </w:r>
      <w:r>
        <w:rPr>
          <w:rFonts w:ascii="Times New Roman"/>
        </w:rPr>
        <w:t>‘</w:t>
      </w:r>
      <w:r>
        <w:rPr>
          <w:rFonts w:ascii="Times New Roman"/>
        </w:rPr>
        <w:t>cash for care</w:t>
      </w:r>
      <w:r>
        <w:rPr>
          <w:rFonts w:ascii="Times New Roman"/>
        </w:rPr>
        <w:t>’</w:t>
      </w:r>
      <w:r>
        <w:rPr>
          <w:rFonts w:ascii="Times New Roman"/>
        </w:rPr>
        <w:t xml:space="preserve"> schemes, their purpose has been to facilitate choice in the purchase of home-based services.</w:t>
      </w:r>
    </w:p>
    <w:p w:rsidR="002F2633" w:rsidRDefault="002F2633" w:rsidP="00375CD0">
      <w:pPr>
        <w:rPr>
          <w:rFonts w:ascii="Times New Roman"/>
        </w:rPr>
      </w:pPr>
    </w:p>
    <w:p w:rsidR="002F2633" w:rsidRDefault="002F2633" w:rsidP="00375CD0">
      <w:pPr>
        <w:rPr>
          <w:rFonts w:ascii="Times New Roman"/>
        </w:rPr>
      </w:pPr>
      <w:r>
        <w:rPr>
          <w:rFonts w:ascii="Times New Roman"/>
        </w:rPr>
        <w:t xml:space="preserve">In Australia, the market tenets of neo-liberalism have also significantly influenced policy reform </w:t>
      </w:r>
      <w:r>
        <w:rPr>
          <w:rFonts w:ascii="Times New Roman"/>
          <w:noProof/>
        </w:rPr>
        <w:t>(Kaine and Green, 2013)</w:t>
      </w:r>
      <w:r>
        <w:rPr>
          <w:rFonts w:ascii="Times New Roman"/>
        </w:rPr>
        <w:t>. Historically, Australia</w:t>
      </w:r>
      <w:r>
        <w:rPr>
          <w:rFonts w:ascii="Times New Roman"/>
        </w:rPr>
        <w:t>’</w:t>
      </w:r>
      <w:r>
        <w:rPr>
          <w:rFonts w:ascii="Times New Roman"/>
        </w:rPr>
        <w:t xml:space="preserve">s federal government has traditionally been a funder rather than a provider of aged care services </w:t>
      </w:r>
      <w:r>
        <w:rPr>
          <w:rFonts w:ascii="Times New Roman"/>
          <w:noProof/>
        </w:rPr>
        <w:t>(Brennan et al., 2012)</w:t>
      </w:r>
      <w:r>
        <w:rPr>
          <w:rFonts w:ascii="Times New Roman"/>
        </w:rPr>
        <w:t xml:space="preserve"> with the delivery of aged care services predominantly the domain of not-for-profit organizations (charitable and community organisations) and local governments. Prior to a significant period of policy reform, services were provided through typically paternalistic welfare approaches. More recently, the introduction of a suite of aged care reforms has enabled the rise of the for-profit sector and seen the withdrawal of local government in the provision of domiciliary care. As a consequence, Australian aged care services operate in a maze-like competitive environment. In this context, not-for profit and for profit providers bid for subsidies based on the assessed needs of older people living in residential care facilities and those living independently</w:t>
      </w:r>
      <w:r w:rsidRPr="00553DD7">
        <w:rPr>
          <w:rFonts w:ascii="Times New Roman" w:hAnsi="Times New Roman" w:cs="Times New Roman"/>
        </w:rPr>
        <w:t>.</w:t>
      </w:r>
    </w:p>
    <w:p w:rsidR="002F2633" w:rsidRPr="00E575CF" w:rsidRDefault="002F2633" w:rsidP="00375CD0">
      <w:pPr>
        <w:rPr>
          <w:rFonts w:ascii="Times New Roman"/>
        </w:rPr>
      </w:pPr>
    </w:p>
    <w:p w:rsidR="002F2633" w:rsidRPr="0093759F" w:rsidRDefault="002F2633" w:rsidP="00375CD0">
      <w:pPr>
        <w:rPr>
          <w:rFonts w:ascii="Times New Roman" w:hAnsi="Times New Roman" w:cs="Times New Roman"/>
          <w:lang w:val="en" w:eastAsia="en-AU"/>
        </w:rPr>
      </w:pPr>
      <w:r>
        <w:rPr>
          <w:rFonts w:ascii="Times New Roman"/>
        </w:rPr>
        <w:t>T</w:t>
      </w:r>
      <w:r>
        <w:rPr>
          <w:rFonts w:ascii="Times New Roman" w:hAnsi="Times New Roman" w:cs="Times New Roman"/>
        </w:rPr>
        <w:t xml:space="preserve">he introduction of a CDC schemes established competition across a range of for-profit and not-for profit organisations, and consumer choice in selecting care items and providers </w:t>
      </w:r>
      <w:r>
        <w:rPr>
          <w:rFonts w:ascii="Times New Roman" w:hAnsi="Times New Roman" w:cs="Times New Roman"/>
          <w:noProof/>
        </w:rPr>
        <w:t>(Yeandle and Ungerson, 2007)</w:t>
      </w:r>
      <w:r>
        <w:rPr>
          <w:rFonts w:ascii="Times New Roman" w:hAnsi="Times New Roman" w:cs="Times New Roman"/>
        </w:rPr>
        <w:t xml:space="preserve">. </w:t>
      </w:r>
      <w:r w:rsidRPr="0093759F">
        <w:rPr>
          <w:rFonts w:ascii="Times New Roman" w:hAnsi="Times New Roman" w:cs="Times New Roman"/>
        </w:rPr>
        <w:t>In Australia, the range of community-based programs are necessarily wide and include the provision of government-funded packages for personal care, nursing care, domestic assistance, respite care, meals, home maintenance and case management.</w:t>
      </w:r>
      <w:r>
        <w:rPr>
          <w:rFonts w:ascii="Times New Roman" w:hAnsi="Times New Roman" w:cs="Times New Roman"/>
        </w:rPr>
        <w:t xml:space="preserve"> </w:t>
      </w:r>
      <w:r>
        <w:rPr>
          <w:rFonts w:ascii="Times New Roman" w:hAnsi="Times New Roman" w:cs="Times New Roman"/>
          <w:lang w:val="en"/>
        </w:rPr>
        <w:t>Two schemes</w:t>
      </w:r>
      <w:r w:rsidRPr="0093759F">
        <w:rPr>
          <w:rFonts w:ascii="Times New Roman" w:hAnsi="Times New Roman" w:cs="Times New Roman"/>
          <w:lang w:val="en"/>
        </w:rPr>
        <w:t xml:space="preserve"> exist for community care funding: </w:t>
      </w:r>
      <w:r w:rsidRPr="0093759F">
        <w:rPr>
          <w:rFonts w:ascii="Times New Roman" w:hAnsi="Times New Roman" w:cs="Times New Roman"/>
        </w:rPr>
        <w:t>t</w:t>
      </w:r>
      <w:r w:rsidRPr="0093759F">
        <w:rPr>
          <w:rFonts w:ascii="Times New Roman" w:hAnsi="Times New Roman" w:cs="Times New Roman"/>
          <w:lang w:val="en"/>
        </w:rPr>
        <w:t>he</w:t>
      </w:r>
      <w:r w:rsidRPr="0093759F">
        <w:rPr>
          <w:rFonts w:ascii="Times New Roman" w:hAnsi="Times New Roman" w:cs="Times New Roman"/>
        </w:rPr>
        <w:t xml:space="preserve"> Commonwealth Home Support Program (</w:t>
      </w:r>
      <w:r w:rsidRPr="0093759F">
        <w:rPr>
          <w:rFonts w:ascii="Times New Roman" w:hAnsi="Times New Roman" w:cs="Times New Roman"/>
          <w:lang w:val="en"/>
        </w:rPr>
        <w:t xml:space="preserve">CHSP) </w:t>
      </w:r>
      <w:r w:rsidRPr="0093759F">
        <w:rPr>
          <w:rFonts w:ascii="Times New Roman" w:hAnsi="Times New Roman" w:cs="Times New Roman"/>
        </w:rPr>
        <w:t xml:space="preserve">designed to provide a modest amount of single service care and </w:t>
      </w:r>
      <w:r w:rsidRPr="0093759F">
        <w:rPr>
          <w:rFonts w:ascii="Times New Roman" w:hAnsi="Times New Roman" w:cs="Times New Roman"/>
          <w:lang w:val="en" w:eastAsia="en-AU"/>
        </w:rPr>
        <w:t xml:space="preserve">the </w:t>
      </w:r>
      <w:r w:rsidRPr="0093759F">
        <w:rPr>
          <w:rFonts w:ascii="Times New Roman" w:hAnsi="Times New Roman" w:cs="Times New Roman"/>
          <w:lang w:val="en" w:eastAsia="en-AU"/>
        </w:rPr>
        <w:lastRenderedPageBreak/>
        <w:t>Home Ca</w:t>
      </w:r>
      <w:r>
        <w:rPr>
          <w:rFonts w:ascii="Times New Roman" w:hAnsi="Times New Roman" w:cs="Times New Roman"/>
          <w:lang w:val="en" w:eastAsia="en-AU"/>
        </w:rPr>
        <w:t>re Packages (HCP) program,</w:t>
      </w:r>
      <w:r w:rsidRPr="0093759F">
        <w:rPr>
          <w:rFonts w:ascii="Times New Roman" w:hAnsi="Times New Roman" w:cs="Times New Roman"/>
        </w:rPr>
        <w:t xml:space="preserve"> a tiered system </w:t>
      </w:r>
      <w:r>
        <w:rPr>
          <w:rFonts w:ascii="Times New Roman" w:hAnsi="Times New Roman" w:cs="Times New Roman"/>
        </w:rPr>
        <w:t>which provides greater levels of support</w:t>
      </w:r>
      <w:r w:rsidRPr="0093759F">
        <w:rPr>
          <w:rFonts w:ascii="Times New Roman" w:hAnsi="Times New Roman" w:cs="Times New Roman"/>
        </w:rPr>
        <w:t xml:space="preserve"> according to individual care needs. </w:t>
      </w:r>
    </w:p>
    <w:p w:rsidR="002F2633" w:rsidRDefault="002F2633" w:rsidP="00375CD0">
      <w:pPr>
        <w:rPr>
          <w:rFonts w:ascii="Times New Roman" w:hAnsi="Times New Roman" w:cs="Times New Roman"/>
        </w:rPr>
      </w:pPr>
    </w:p>
    <w:p w:rsidR="002F2633" w:rsidRDefault="002F2633" w:rsidP="00375CD0">
      <w:pPr>
        <w:rPr>
          <w:rFonts w:ascii="Times New Roman" w:hAnsi="Times New Roman" w:cs="Times New Roman"/>
        </w:rPr>
      </w:pPr>
      <w:r>
        <w:rPr>
          <w:rFonts w:ascii="Times New Roman" w:hAnsi="Times New Roman" w:cs="Times New Roman"/>
        </w:rPr>
        <w:t>In 2017, all new and existing home care packages were assigned to consumers, rather than to aged care providers. This marketised model with its clear definition of community-based care recipients as consumers, and care as a commodity, has effectively re-located the publicly funded aged-care system into the private, commercial sphere</w:t>
      </w:r>
      <w:r>
        <w:rPr>
          <w:rFonts w:ascii="Times New Roman Bold"/>
        </w:rPr>
        <w:t xml:space="preserve">. </w:t>
      </w:r>
      <w:r w:rsidRPr="00424170">
        <w:rPr>
          <w:rFonts w:ascii="Times New Roman" w:hAnsi="Times New Roman" w:cs="Times New Roman"/>
        </w:rPr>
        <w:t xml:space="preserve">This shift, underpinned by the concept of CDC, has changed the landscape of community care delivery through the introduction of a competitive environment in which service providers market their own services and procure and broker other services. Regardless of whether or not provider organisations are profit-oriented, their operational framework must be business- and customer-focussed in order to remain competitive and attract consumer choice and uptake of their services. </w:t>
      </w:r>
    </w:p>
    <w:p w:rsidR="002F2633" w:rsidRDefault="002F2633" w:rsidP="00375CD0">
      <w:pPr>
        <w:rPr>
          <w:rFonts w:ascii="Times New Roman" w:hAnsi="Times New Roman" w:cs="Times New Roman"/>
        </w:rPr>
      </w:pPr>
    </w:p>
    <w:p w:rsidR="002F2633" w:rsidRPr="0093759F" w:rsidRDefault="002F2633" w:rsidP="00375CD0">
      <w:pPr>
        <w:rPr>
          <w:rFonts w:ascii="Times New Roman Bold"/>
        </w:rPr>
      </w:pPr>
      <w:r w:rsidRPr="00424170">
        <w:rPr>
          <w:rFonts w:ascii="Times New Roman" w:hAnsi="Times New Roman" w:cs="Times New Roman"/>
        </w:rPr>
        <w:t xml:space="preserve">Conceptually, CDC advances the philosophy of Person-Centred Care (PCC) which aims to individualise and improve care quality and outcomes for older adults </w:t>
      </w:r>
      <w:r w:rsidRPr="00424170">
        <w:rPr>
          <w:rFonts w:ascii="Times New Roman" w:hAnsi="Times New Roman" w:cs="Times New Roman"/>
          <w:noProof/>
        </w:rPr>
        <w:t>(Australian Commission on Safety and Quality in Healthcare, 2007, 2012)</w:t>
      </w:r>
      <w:r w:rsidRPr="00424170">
        <w:rPr>
          <w:rFonts w:ascii="Times New Roman" w:hAnsi="Times New Roman" w:cs="Times New Roman"/>
        </w:rPr>
        <w:t xml:space="preserve">. Such approaches represent a fundamental shift from traditional, medical or paternalistic practices that limit input from the person receiving care </w:t>
      </w:r>
      <w:r>
        <w:rPr>
          <w:rFonts w:ascii="Times New Roman" w:hAnsi="Times New Roman" w:cs="Times New Roman"/>
          <w:noProof/>
        </w:rPr>
        <w:t xml:space="preserve">(Delaney, 2018). </w:t>
      </w:r>
      <w:r w:rsidRPr="00424170">
        <w:rPr>
          <w:rFonts w:ascii="Times New Roman" w:hAnsi="Times New Roman" w:cs="Times New Roman"/>
        </w:rPr>
        <w:t>As a</w:t>
      </w:r>
      <w:r>
        <w:rPr>
          <w:rFonts w:ascii="Times New Roman" w:hAnsi="Times New Roman" w:cs="Times New Roman"/>
        </w:rPr>
        <w:t xml:space="preserve"> central element of the marketis</w:t>
      </w:r>
      <w:r w:rsidRPr="00424170">
        <w:rPr>
          <w:rFonts w:ascii="Times New Roman" w:hAnsi="Times New Roman" w:cs="Times New Roman"/>
        </w:rPr>
        <w:t>ed system, CDC upholds the agency and wisdom of older care recipients. For their part, community-based care providers must foster consumers’ agency, respect their decisions, and work to ensure that services achieve quality outcomes and customer satisfaction</w:t>
      </w:r>
      <w:r>
        <w:rPr>
          <w:rFonts w:ascii="Times New Roman" w:hAnsi="Times New Roman" w:cs="Times New Roman"/>
        </w:rPr>
        <w:t xml:space="preserve"> </w:t>
      </w:r>
      <w:r>
        <w:rPr>
          <w:rFonts w:ascii="Times New Roman" w:hAnsi="Times New Roman" w:cs="Times New Roman"/>
          <w:noProof/>
        </w:rPr>
        <w:t>(Rathert et al., 2012).</w:t>
      </w:r>
    </w:p>
    <w:p w:rsidR="002F2633" w:rsidRPr="00424170" w:rsidRDefault="002F2633" w:rsidP="00375CD0">
      <w:pPr>
        <w:rPr>
          <w:rFonts w:ascii="Times New Roman" w:hAnsi="Times New Roman" w:cs="Times New Roman"/>
        </w:rPr>
      </w:pPr>
    </w:p>
    <w:p w:rsidR="002F2633" w:rsidRPr="00424170" w:rsidRDefault="002F2633" w:rsidP="00375CD0">
      <w:pPr>
        <w:rPr>
          <w:rFonts w:ascii="Times New Roman" w:hAnsi="Times New Roman" w:cs="Times New Roman"/>
        </w:rPr>
      </w:pPr>
      <w:r w:rsidRPr="00424170">
        <w:rPr>
          <w:rFonts w:ascii="Times New Roman" w:hAnsi="Times New Roman" w:cs="Times New Roman"/>
        </w:rPr>
        <w:t>What these broad reaching changes mean for service delivery and the ability of older people to age comfortably in thei</w:t>
      </w:r>
      <w:r>
        <w:rPr>
          <w:rFonts w:ascii="Times New Roman" w:hAnsi="Times New Roman" w:cs="Times New Roman"/>
        </w:rPr>
        <w:t>r homes is the subject of international</w:t>
      </w:r>
      <w:r w:rsidRPr="00424170">
        <w:rPr>
          <w:rFonts w:ascii="Times New Roman" w:hAnsi="Times New Roman" w:cs="Times New Roman"/>
        </w:rPr>
        <w:t xml:space="preserve"> discussion </w:t>
      </w:r>
      <w:r>
        <w:rPr>
          <w:rFonts w:ascii="Times New Roman" w:hAnsi="Times New Roman" w:cs="Times New Roman"/>
          <w:noProof/>
        </w:rPr>
        <w:t>(Bulamu et al., 2017, Kaambwa et al., 2015, Ottmann et al., 2013)</w:t>
      </w:r>
      <w:r w:rsidRPr="00424170">
        <w:rPr>
          <w:rFonts w:ascii="Times New Roman" w:hAnsi="Times New Roman" w:cs="Times New Roman"/>
        </w:rPr>
        <w:t xml:space="preserve">. This </w:t>
      </w:r>
      <w:r>
        <w:rPr>
          <w:rFonts w:ascii="Times New Roman" w:hAnsi="Times New Roman" w:cs="Times New Roman"/>
        </w:rPr>
        <w:t xml:space="preserve">international </w:t>
      </w:r>
      <w:r w:rsidRPr="00424170">
        <w:rPr>
          <w:rFonts w:ascii="Times New Roman" w:hAnsi="Times New Roman" w:cs="Times New Roman"/>
        </w:rPr>
        <w:t xml:space="preserve">literature </w:t>
      </w:r>
      <w:r>
        <w:rPr>
          <w:rFonts w:ascii="Times New Roman" w:hAnsi="Times New Roman" w:cs="Times New Roman"/>
        </w:rPr>
        <w:t xml:space="preserve">on various cash for care schemes, </w:t>
      </w:r>
      <w:r w:rsidRPr="00424170">
        <w:rPr>
          <w:rFonts w:ascii="Times New Roman" w:hAnsi="Times New Roman" w:cs="Times New Roman"/>
        </w:rPr>
        <w:t>focuses on the experiences of older people relative to accessing and receiving various services</w:t>
      </w:r>
      <w:r w:rsidR="00E03B91">
        <w:rPr>
          <w:rFonts w:ascii="Times New Roman" w:hAnsi="Times New Roman" w:cs="Times New Roman"/>
        </w:rPr>
        <w:t xml:space="preserve"> </w:t>
      </w:r>
      <w:r>
        <w:rPr>
          <w:rFonts w:ascii="Times New Roman" w:hAnsi="Times New Roman" w:cs="Times New Roman"/>
          <w:noProof/>
        </w:rPr>
        <w:t>(Bulamu et al., 2017, Cardona et al., 2017, Ratcliffe et al., 2014, Sciegaj et al., 2004)</w:t>
      </w:r>
      <w:r w:rsidRPr="00424170">
        <w:rPr>
          <w:rFonts w:ascii="Times New Roman" w:hAnsi="Times New Roman" w:cs="Times New Roman"/>
        </w:rPr>
        <w:t>. One systematic review found older people report varying preferences for CDC</w:t>
      </w:r>
      <w:r w:rsidRPr="00424170">
        <w:rPr>
          <w:rFonts w:ascii="Times New Roman" w:hAnsi="Times New Roman" w:cs="Times New Roman"/>
          <w:b/>
        </w:rPr>
        <w:t xml:space="preserve"> </w:t>
      </w:r>
      <w:r w:rsidRPr="00424170">
        <w:rPr>
          <w:rFonts w:ascii="Times New Roman" w:hAnsi="Times New Roman" w:cs="Times New Roman"/>
        </w:rPr>
        <w:t xml:space="preserve">with some demonstrating limited interest </w:t>
      </w:r>
      <w:r w:rsidRPr="00424170">
        <w:rPr>
          <w:rFonts w:ascii="Times New Roman" w:hAnsi="Times New Roman" w:cs="Times New Roman"/>
          <w:noProof/>
        </w:rPr>
        <w:t>(Ottmann et al., 2013)</w:t>
      </w:r>
      <w:r w:rsidRPr="00424170">
        <w:rPr>
          <w:rFonts w:ascii="Times New Roman" w:hAnsi="Times New Roman" w:cs="Times New Roman"/>
        </w:rPr>
        <w:t xml:space="preserve">. In other research, older people reported experiencing higher levels of control and choice in relation to their funding packages </w:t>
      </w:r>
      <w:r>
        <w:rPr>
          <w:rFonts w:ascii="Times New Roman" w:hAnsi="Times New Roman" w:cs="Times New Roman"/>
          <w:noProof/>
        </w:rPr>
        <w:t>(Cardona et al., 2017, Gill et al., 2018)</w:t>
      </w:r>
      <w:r w:rsidRPr="00424170">
        <w:rPr>
          <w:rFonts w:ascii="Times New Roman" w:hAnsi="Times New Roman" w:cs="Times New Roman"/>
          <w:noProof/>
        </w:rPr>
        <w:t xml:space="preserve">. At the same time, similar results offered by </w:t>
      </w:r>
      <w:r w:rsidRPr="00424170">
        <w:rPr>
          <w:rFonts w:ascii="Times New Roman" w:hAnsi="Times New Roman" w:cs="Times New Roman"/>
        </w:rPr>
        <w:t xml:space="preserve">Bulamu (2107) show that while older participants in receipt of funds express satisfaction with their quality of life, actual improvement in quality of life could not be demonstrated. This distinction has led some to argue that the perception of choice as a marker of program success is overly </w:t>
      </w:r>
      <w:r w:rsidRPr="00424170">
        <w:rPr>
          <w:rFonts w:ascii="Times New Roman" w:hAnsi="Times New Roman" w:cs="Times New Roman"/>
        </w:rPr>
        <w:lastRenderedPageBreak/>
        <w:t xml:space="preserve">simplistic and fails to appreciate the inherent complexity of ageing in place </w:t>
      </w:r>
      <w:r>
        <w:rPr>
          <w:rFonts w:ascii="Times New Roman" w:hAnsi="Times New Roman" w:cs="Times New Roman"/>
          <w:noProof/>
        </w:rPr>
        <w:t>(FitzGerald Murphy and Kelly, 2018, Ginsburg, 2006)</w:t>
      </w:r>
      <w:r w:rsidRPr="00424170">
        <w:rPr>
          <w:rFonts w:ascii="Times New Roman" w:hAnsi="Times New Roman" w:cs="Times New Roman"/>
        </w:rPr>
        <w:t xml:space="preserve">. Indeed, variables such as choice and quality outcomes and their interplay with the </w:t>
      </w:r>
      <w:r>
        <w:rPr>
          <w:rFonts w:ascii="Times New Roman" w:hAnsi="Times New Roman" w:cs="Times New Roman"/>
        </w:rPr>
        <w:t xml:space="preserve">circumstances that constitute the </w:t>
      </w:r>
      <w:r w:rsidRPr="00424170">
        <w:rPr>
          <w:rFonts w:ascii="Times New Roman" w:hAnsi="Times New Roman" w:cs="Times New Roman"/>
        </w:rPr>
        <w:t xml:space="preserve">health and care worlds of older people are inherently complex. </w:t>
      </w:r>
    </w:p>
    <w:p w:rsidR="002F2633" w:rsidRPr="00424170" w:rsidRDefault="002F2633" w:rsidP="00375CD0">
      <w:pPr>
        <w:rPr>
          <w:rFonts w:ascii="Times New Roman" w:hAnsi="Times New Roman" w:cs="Times New Roman"/>
        </w:rPr>
      </w:pPr>
    </w:p>
    <w:p w:rsidR="002F2633" w:rsidRPr="00F96607" w:rsidRDefault="002F2633" w:rsidP="00375CD0">
      <w:pPr>
        <w:pStyle w:val="THESISNormal"/>
        <w:spacing w:line="360" w:lineRule="auto"/>
        <w:rPr>
          <w:rFonts w:ascii="Times New Roman" w:hAnsi="Times New Roman" w:cs="Times New Roman"/>
          <w:color w:val="FF0000"/>
          <w:sz w:val="24"/>
          <w:szCs w:val="24"/>
        </w:rPr>
      </w:pPr>
      <w:r w:rsidRPr="00F96607">
        <w:rPr>
          <w:rFonts w:ascii="Times New Roman" w:hAnsi="Times New Roman" w:cs="Times New Roman"/>
          <w:sz w:val="24"/>
          <w:szCs w:val="24"/>
        </w:rPr>
        <w:t xml:space="preserve">Locality and service availability, for example, play a major part in the exercise and outcome of consumer choice. Rural communities experience marked differences in terms of access to services and supports when compared to their metropolitan counterparts </w:t>
      </w:r>
      <w:r>
        <w:rPr>
          <w:rFonts w:ascii="Times New Roman" w:hAnsi="Times New Roman" w:cs="Times New Roman"/>
          <w:noProof/>
          <w:sz w:val="24"/>
          <w:szCs w:val="24"/>
        </w:rPr>
        <w:t>(Australian Institute of Health and Welfare, 2018 )</w:t>
      </w:r>
      <w:r w:rsidRPr="00F96607">
        <w:rPr>
          <w:rFonts w:ascii="Times New Roman" w:hAnsi="Times New Roman" w:cs="Times New Roman"/>
          <w:sz w:val="24"/>
          <w:szCs w:val="24"/>
        </w:rPr>
        <w:t>. On the face of it, however, the reformed system offers rural consumers the opportunity to purchase care from local or distantly-based providers; in this sense</w:t>
      </w:r>
      <w:r>
        <w:rPr>
          <w:rFonts w:ascii="Times New Roman" w:hAnsi="Times New Roman" w:cs="Times New Roman"/>
          <w:sz w:val="24"/>
          <w:szCs w:val="24"/>
        </w:rPr>
        <w:t>,</w:t>
      </w:r>
      <w:r w:rsidRPr="00F96607">
        <w:rPr>
          <w:rFonts w:ascii="Times New Roman" w:hAnsi="Times New Roman" w:cs="Times New Roman"/>
          <w:sz w:val="24"/>
          <w:szCs w:val="24"/>
        </w:rPr>
        <w:t xml:space="preserve"> consumer choice appears to </w:t>
      </w:r>
      <w:r>
        <w:rPr>
          <w:rFonts w:ascii="Times New Roman" w:hAnsi="Times New Roman" w:cs="Times New Roman"/>
          <w:sz w:val="24"/>
          <w:szCs w:val="24"/>
        </w:rPr>
        <w:t xml:space="preserve">be </w:t>
      </w:r>
      <w:r w:rsidRPr="00F96607">
        <w:rPr>
          <w:rFonts w:ascii="Times New Roman" w:hAnsi="Times New Roman" w:cs="Times New Roman"/>
          <w:sz w:val="24"/>
          <w:szCs w:val="24"/>
        </w:rPr>
        <w:t xml:space="preserve">equitable across all parts of Australia. </w:t>
      </w:r>
      <w:r w:rsidRPr="00F96607">
        <w:rPr>
          <w:rFonts w:ascii="Times New Roman" w:eastAsia="Roboto" w:hAnsi="Times New Roman" w:cs="Times New Roman"/>
          <w:sz w:val="24"/>
          <w:szCs w:val="24"/>
        </w:rPr>
        <w:t>For their part, providers operating in regional and rural parts of Austra</w:t>
      </w:r>
      <w:r>
        <w:rPr>
          <w:rFonts w:ascii="Times New Roman" w:eastAsia="Roboto" w:hAnsi="Times New Roman" w:cs="Times New Roman"/>
          <w:sz w:val="24"/>
          <w:szCs w:val="24"/>
        </w:rPr>
        <w:t>lia will experience the marketis</w:t>
      </w:r>
      <w:r w:rsidRPr="00F96607">
        <w:rPr>
          <w:rFonts w:ascii="Times New Roman" w:eastAsia="Roboto" w:hAnsi="Times New Roman" w:cs="Times New Roman"/>
          <w:sz w:val="24"/>
          <w:szCs w:val="24"/>
        </w:rPr>
        <w:t xml:space="preserve">ed and maze-like service environment differently from their metropolitan counterparts. In regional, rural and remote communities, choices are constrained by the lack of aged </w:t>
      </w:r>
      <w:r w:rsidRPr="00F96607">
        <w:rPr>
          <w:rFonts w:ascii="Times New Roman" w:hAnsi="Times New Roman" w:cs="Times New Roman"/>
          <w:sz w:val="24"/>
          <w:szCs w:val="24"/>
        </w:rPr>
        <w:t>care service</w:t>
      </w:r>
      <w:r>
        <w:rPr>
          <w:rFonts w:ascii="Times New Roman" w:hAnsi="Times New Roman" w:cs="Times New Roman"/>
          <w:sz w:val="24"/>
          <w:szCs w:val="24"/>
        </w:rPr>
        <w:t>s operating</w:t>
      </w:r>
      <w:r w:rsidRPr="00F96607">
        <w:rPr>
          <w:rFonts w:ascii="Times New Roman" w:hAnsi="Times New Roman" w:cs="Times New Roman"/>
          <w:sz w:val="24"/>
          <w:szCs w:val="24"/>
        </w:rPr>
        <w:t xml:space="preserve"> ou</w:t>
      </w:r>
      <w:r>
        <w:rPr>
          <w:rFonts w:ascii="Times New Roman" w:hAnsi="Times New Roman" w:cs="Times New Roman"/>
          <w:sz w:val="24"/>
          <w:szCs w:val="24"/>
        </w:rPr>
        <w:t xml:space="preserve">tside of metropolitan and major </w:t>
      </w:r>
      <w:r w:rsidRPr="00F96607">
        <w:rPr>
          <w:rFonts w:ascii="Times New Roman" w:hAnsi="Times New Roman" w:cs="Times New Roman"/>
          <w:sz w:val="24"/>
          <w:szCs w:val="24"/>
        </w:rPr>
        <w:t xml:space="preserve">regional locations </w:t>
      </w:r>
      <w:r>
        <w:rPr>
          <w:rFonts w:ascii="Times New Roman" w:hAnsi="Times New Roman" w:cs="Times New Roman"/>
          <w:noProof/>
          <w:sz w:val="24"/>
          <w:szCs w:val="24"/>
        </w:rPr>
        <w:t>(Baldwin et al., 2015)</w:t>
      </w:r>
      <w:r w:rsidRPr="00F96607">
        <w:rPr>
          <w:rFonts w:ascii="Times New Roman" w:hAnsi="Times New Roman" w:cs="Times New Roman"/>
          <w:sz w:val="24"/>
          <w:szCs w:val="24"/>
        </w:rPr>
        <w:t>.</w:t>
      </w:r>
      <w:r>
        <w:rPr>
          <w:rFonts w:ascii="Times New Roman" w:hAnsi="Times New Roman" w:cs="Times New Roman"/>
          <w:sz w:val="24"/>
          <w:szCs w:val="24"/>
        </w:rPr>
        <w:t xml:space="preserve"> </w:t>
      </w:r>
      <w:r w:rsidRPr="00F96607">
        <w:rPr>
          <w:rFonts w:ascii="Times New Roman" w:hAnsi="Times New Roman" w:cs="Times New Roman"/>
          <w:sz w:val="24"/>
          <w:szCs w:val="24"/>
        </w:rPr>
        <w:t xml:space="preserve">This </w:t>
      </w:r>
      <w:r>
        <w:rPr>
          <w:rFonts w:ascii="Times New Roman" w:hAnsi="Times New Roman" w:cs="Times New Roman"/>
          <w:sz w:val="24"/>
          <w:szCs w:val="24"/>
        </w:rPr>
        <w:t xml:space="preserve">relative lack </w:t>
      </w:r>
      <w:r w:rsidRPr="00F96607">
        <w:rPr>
          <w:rFonts w:ascii="Times New Roman" w:hAnsi="Times New Roman" w:cs="Times New Roman"/>
          <w:sz w:val="24"/>
          <w:szCs w:val="24"/>
        </w:rPr>
        <w:t>results</w:t>
      </w:r>
      <w:r w:rsidRPr="00F96607">
        <w:rPr>
          <w:rFonts w:ascii="Times New Roman" w:eastAsia="Roboto" w:hAnsi="Times New Roman" w:cs="Times New Roman"/>
          <w:sz w:val="24"/>
          <w:szCs w:val="24"/>
        </w:rPr>
        <w:t xml:space="preserve"> in often complex and innovative diverse </w:t>
      </w:r>
      <w:r>
        <w:rPr>
          <w:rFonts w:ascii="Times New Roman" w:eastAsia="Roboto" w:hAnsi="Times New Roman" w:cs="Times New Roman"/>
          <w:sz w:val="24"/>
          <w:szCs w:val="24"/>
        </w:rPr>
        <w:t xml:space="preserve">service delivery </w:t>
      </w:r>
      <w:r w:rsidRPr="00F96607">
        <w:rPr>
          <w:rFonts w:ascii="Times New Roman" w:eastAsia="Roboto" w:hAnsi="Times New Roman" w:cs="Times New Roman"/>
          <w:sz w:val="24"/>
          <w:szCs w:val="24"/>
        </w:rPr>
        <w:t>arrangements. Equally, the charge to observe the principles of CDC poses location specific challenges; consumer choices for service provision may not realistically reflect geographical and resource limitations.</w:t>
      </w:r>
      <w:r>
        <w:rPr>
          <w:rFonts w:ascii="Times New Roman" w:eastAsia="Roboto" w:hAnsi="Times New Roman" w:cs="Times New Roman"/>
          <w:sz w:val="24"/>
          <w:szCs w:val="24"/>
        </w:rPr>
        <w:t xml:space="preserve"> </w:t>
      </w:r>
    </w:p>
    <w:p w:rsidR="002F2633" w:rsidRPr="00707806" w:rsidRDefault="002F2633" w:rsidP="00375CD0">
      <w:pPr>
        <w:rPr>
          <w:rFonts w:ascii="Times New Roman" w:hAnsi="Times New Roman" w:cs="Times New Roman"/>
        </w:rPr>
      </w:pPr>
    </w:p>
    <w:p w:rsidR="002F2633" w:rsidRDefault="002F2633" w:rsidP="00375CD0">
      <w:pPr>
        <w:rPr>
          <w:rFonts w:ascii="Times New Roman" w:hAnsi="Times New Roman" w:cs="Times New Roman"/>
        </w:rPr>
      </w:pPr>
      <w:r w:rsidRPr="00707806">
        <w:rPr>
          <w:rFonts w:ascii="Times New Roman" w:hAnsi="Times New Roman" w:cs="Times New Roman"/>
        </w:rPr>
        <w:t xml:space="preserve">In this paper we draw from a qualitative study recently conducted in partnership with a consortium of aged care providers who operate within a largely rural region of Victoria, a </w:t>
      </w:r>
      <w:r>
        <w:rPr>
          <w:rFonts w:ascii="Times New Roman" w:hAnsi="Times New Roman" w:cs="Times New Roman"/>
        </w:rPr>
        <w:t>So</w:t>
      </w:r>
      <w:r w:rsidRPr="00707806">
        <w:rPr>
          <w:rFonts w:ascii="Times New Roman" w:hAnsi="Times New Roman" w:cs="Times New Roman"/>
        </w:rPr>
        <w:t>uth-</w:t>
      </w:r>
      <w:r>
        <w:rPr>
          <w:rFonts w:ascii="Times New Roman" w:hAnsi="Times New Roman" w:cs="Times New Roman"/>
        </w:rPr>
        <w:t>E</w:t>
      </w:r>
      <w:r w:rsidRPr="00707806">
        <w:rPr>
          <w:rFonts w:ascii="Times New Roman" w:hAnsi="Times New Roman" w:cs="Times New Roman"/>
        </w:rPr>
        <w:t>astern state of Australia. The area under study is geographically diverse. It includes major regional centres</w:t>
      </w:r>
      <w:r>
        <w:rPr>
          <w:rFonts w:ascii="Times New Roman" w:hAnsi="Times New Roman" w:cs="Times New Roman"/>
        </w:rPr>
        <w:t>, rural,</w:t>
      </w:r>
      <w:r w:rsidRPr="00707806">
        <w:rPr>
          <w:rFonts w:ascii="Times New Roman" w:hAnsi="Times New Roman" w:cs="Times New Roman"/>
        </w:rPr>
        <w:t xml:space="preserve"> and semi-remote communities. The findings presented here are drawn from a larger case study which set out to identify and examine the characteristics of community aged care provision within an area defined by its mostly rural and semi-remote location. In particular, this study aimed to </w:t>
      </w:r>
      <w:r>
        <w:rPr>
          <w:rFonts w:ascii="Times New Roman" w:hAnsi="Times New Roman" w:cs="Times New Roman"/>
        </w:rPr>
        <w:t xml:space="preserve">explore the ways that the providers and consumers experienced the policy reforms as outlined above, and to </w:t>
      </w:r>
      <w:r w:rsidRPr="00707806">
        <w:rPr>
          <w:rFonts w:ascii="Times New Roman" w:hAnsi="Times New Roman" w:cs="Times New Roman"/>
        </w:rPr>
        <w:t xml:space="preserve">identify workforce, skills and training needs </w:t>
      </w:r>
      <w:r>
        <w:rPr>
          <w:rFonts w:ascii="Times New Roman" w:hAnsi="Times New Roman" w:cs="Times New Roman"/>
        </w:rPr>
        <w:t>pertinent to this region and</w:t>
      </w:r>
      <w:r w:rsidRPr="00707806">
        <w:rPr>
          <w:rFonts w:ascii="Times New Roman" w:hAnsi="Times New Roman" w:cs="Times New Roman"/>
        </w:rPr>
        <w:t xml:space="preserve"> to compare these with national statistics. </w:t>
      </w:r>
    </w:p>
    <w:p w:rsidR="002F2633" w:rsidRDefault="002F2633" w:rsidP="00375CD0">
      <w:pPr>
        <w:rPr>
          <w:rFonts w:ascii="Times New Roman" w:hAnsi="Times New Roman" w:cs="Times New Roman"/>
        </w:rPr>
      </w:pPr>
    </w:p>
    <w:p w:rsidR="002F2633" w:rsidRPr="00707806" w:rsidRDefault="002F2633" w:rsidP="00375CD0">
      <w:pPr>
        <w:rPr>
          <w:rFonts w:ascii="Times New Roman" w:hAnsi="Times New Roman" w:cs="Times New Roman"/>
        </w:rPr>
      </w:pPr>
      <w:r w:rsidRPr="00707806">
        <w:rPr>
          <w:rFonts w:ascii="Times New Roman" w:hAnsi="Times New Roman" w:cs="Times New Roman"/>
        </w:rPr>
        <w:t xml:space="preserve">The study extends the authors’ previous research on service provision and workforce sustainability conducted in other rural parts of New South Wales and Victoria </w:t>
      </w:r>
      <w:r>
        <w:rPr>
          <w:rFonts w:ascii="Times New Roman" w:hAnsi="Times New Roman" w:cs="Times New Roman"/>
          <w:noProof/>
        </w:rPr>
        <w:t>(Savy et al., 2017)</w:t>
      </w:r>
      <w:r w:rsidRPr="00707806">
        <w:rPr>
          <w:rFonts w:ascii="Times New Roman" w:hAnsi="Times New Roman" w:cs="Times New Roman"/>
        </w:rPr>
        <w:t>.</w:t>
      </w:r>
      <w:r>
        <w:rPr>
          <w:rFonts w:ascii="Times New Roman" w:hAnsi="Times New Roman" w:cs="Times New Roman"/>
        </w:rPr>
        <w:t xml:space="preserve"> </w:t>
      </w:r>
      <w:r w:rsidRPr="00707806">
        <w:rPr>
          <w:rFonts w:ascii="Times New Roman" w:hAnsi="Times New Roman" w:cs="Times New Roman"/>
        </w:rPr>
        <w:t xml:space="preserve">The findings are significant in that they describe the limits to care provision as these are imposed by geography as well as the opportunities for maximising resources that arise from </w:t>
      </w:r>
      <w:r w:rsidRPr="00707806">
        <w:rPr>
          <w:rFonts w:ascii="Times New Roman" w:hAnsi="Times New Roman" w:cs="Times New Roman"/>
        </w:rPr>
        <w:lastRenderedPageBreak/>
        <w:t xml:space="preserve">local service and inter-service characteristics and relationships. The findings are also significant in that they address a gap in the Australian aged-care literature. Little aged-care research in this country focusses on regional, rural and communities. </w:t>
      </w:r>
      <w:r w:rsidRPr="00707806">
        <w:rPr>
          <w:rFonts w:ascii="Times New Roman" w:hAnsi="Times New Roman" w:cs="Times New Roman"/>
          <w:color w:val="222A35" w:themeColor="text2" w:themeShade="80"/>
          <w:bdr w:val="none" w:sz="0" w:space="0" w:color="auto" w:frame="1"/>
        </w:rPr>
        <w:t xml:space="preserve">The impact of the recent, major reforms in the aged care sector </w:t>
      </w:r>
      <w:r>
        <w:rPr>
          <w:rFonts w:ascii="Times New Roman" w:hAnsi="Times New Roman" w:cs="Times New Roman"/>
          <w:color w:val="222A35" w:themeColor="text2" w:themeShade="80"/>
          <w:bdr w:val="none" w:sz="0" w:space="0" w:color="auto" w:frame="1"/>
        </w:rPr>
        <w:t xml:space="preserve">needs further focussed </w:t>
      </w:r>
      <w:r w:rsidRPr="00707806">
        <w:rPr>
          <w:rFonts w:ascii="Times New Roman" w:hAnsi="Times New Roman" w:cs="Times New Roman"/>
          <w:color w:val="222A35" w:themeColor="text2" w:themeShade="80"/>
          <w:bdr w:val="none" w:sz="0" w:space="0" w:color="auto" w:frame="1"/>
        </w:rPr>
        <w:t>stud</w:t>
      </w:r>
      <w:r>
        <w:rPr>
          <w:rFonts w:ascii="Times New Roman" w:hAnsi="Times New Roman" w:cs="Times New Roman"/>
          <w:color w:val="222A35" w:themeColor="text2" w:themeShade="80"/>
          <w:bdr w:val="none" w:sz="0" w:space="0" w:color="auto" w:frame="1"/>
        </w:rPr>
        <w:t>y to assess</w:t>
      </w:r>
      <w:r w:rsidRPr="00707806">
        <w:rPr>
          <w:rFonts w:ascii="Times New Roman" w:hAnsi="Times New Roman" w:cs="Times New Roman"/>
          <w:color w:val="222A35" w:themeColor="text2" w:themeShade="80"/>
          <w:bdr w:val="none" w:sz="0" w:space="0" w:color="auto" w:frame="1"/>
        </w:rPr>
        <w:t xml:space="preserve"> the </w:t>
      </w:r>
      <w:r>
        <w:rPr>
          <w:rFonts w:ascii="Times New Roman" w:hAnsi="Times New Roman" w:cs="Times New Roman"/>
          <w:color w:val="222A35" w:themeColor="text2" w:themeShade="80"/>
          <w:bdr w:val="none" w:sz="0" w:space="0" w:color="auto" w:frame="1"/>
        </w:rPr>
        <w:t>implications o</w:t>
      </w:r>
      <w:r w:rsidRPr="00707806">
        <w:rPr>
          <w:rFonts w:ascii="Times New Roman" w:hAnsi="Times New Roman" w:cs="Times New Roman"/>
          <w:color w:val="222A35" w:themeColor="text2" w:themeShade="80"/>
          <w:bdr w:val="none" w:sz="0" w:space="0" w:color="auto" w:frame="1"/>
        </w:rPr>
        <w:t xml:space="preserve">f CDC and the challenges providers face as they navigate </w:t>
      </w:r>
      <w:r>
        <w:rPr>
          <w:rFonts w:ascii="Times New Roman" w:hAnsi="Times New Roman" w:cs="Times New Roman"/>
          <w:color w:val="222A35" w:themeColor="text2" w:themeShade="80"/>
          <w:bdr w:val="none" w:sz="0" w:space="0" w:color="auto" w:frame="1"/>
        </w:rPr>
        <w:t>policy</w:t>
      </w:r>
      <w:r w:rsidRPr="00707806">
        <w:rPr>
          <w:rFonts w:ascii="Times New Roman" w:hAnsi="Times New Roman" w:cs="Times New Roman"/>
          <w:color w:val="222A35" w:themeColor="text2" w:themeShade="80"/>
          <w:bdr w:val="none" w:sz="0" w:space="0" w:color="auto" w:frame="1"/>
        </w:rPr>
        <w:t xml:space="preserve"> changes, stay afloat and provide quality care</w:t>
      </w:r>
      <w:r>
        <w:rPr>
          <w:rFonts w:ascii="Times New Roman" w:hAnsi="Times New Roman" w:cs="Times New Roman"/>
          <w:color w:val="222A35" w:themeColor="text2" w:themeShade="80"/>
          <w:bdr w:val="none" w:sz="0" w:space="0" w:color="auto" w:frame="1"/>
        </w:rPr>
        <w:t xml:space="preserve"> </w:t>
      </w:r>
      <w:r>
        <w:rPr>
          <w:rFonts w:ascii="Times New Roman" w:hAnsi="Times New Roman" w:cs="Times New Roman"/>
          <w:noProof/>
          <w:color w:val="222A35" w:themeColor="text2" w:themeShade="80"/>
          <w:bdr w:val="none" w:sz="0" w:space="0" w:color="auto" w:frame="1"/>
        </w:rPr>
        <w:t>(Jorgensen and Haddock, 2018)</w:t>
      </w:r>
      <w:r w:rsidRPr="00707806">
        <w:rPr>
          <w:rFonts w:ascii="Times New Roman" w:hAnsi="Times New Roman" w:cs="Times New Roman"/>
          <w:color w:val="222A35" w:themeColor="text2" w:themeShade="80"/>
          <w:bdr w:val="none" w:sz="0" w:space="0" w:color="auto" w:frame="1"/>
        </w:rPr>
        <w:t>.</w:t>
      </w:r>
      <w:r w:rsidRPr="00707806">
        <w:rPr>
          <w:rFonts w:ascii="Times New Roman" w:eastAsia="Roboto" w:hAnsi="Times New Roman" w:cs="Times New Roman"/>
        </w:rPr>
        <w:t xml:space="preserve"> </w:t>
      </w:r>
    </w:p>
    <w:p w:rsidR="002F2633" w:rsidRDefault="002F2633" w:rsidP="00375CD0">
      <w:pPr>
        <w:spacing w:after="160" w:line="259" w:lineRule="auto"/>
        <w:jc w:val="left"/>
        <w:rPr>
          <w:rFonts w:ascii="Times New Roman" w:hAnsi="Times New Roman" w:cs="Times New Roman"/>
          <w:b/>
        </w:rPr>
      </w:pPr>
    </w:p>
    <w:p w:rsidR="002F2633" w:rsidRPr="008626F6" w:rsidRDefault="002F2633" w:rsidP="00375CD0">
      <w:pPr>
        <w:spacing w:after="160" w:line="259" w:lineRule="auto"/>
        <w:jc w:val="left"/>
        <w:rPr>
          <w:rFonts w:ascii="Times New Roman" w:hAnsi="Times New Roman" w:cs="Times New Roman"/>
          <w:b/>
        </w:rPr>
      </w:pPr>
      <w:r>
        <w:rPr>
          <w:rFonts w:ascii="Times New Roman" w:hAnsi="Times New Roman" w:cs="Times New Roman"/>
          <w:b/>
        </w:rPr>
        <w:t>M</w:t>
      </w:r>
      <w:r w:rsidRPr="008626F6">
        <w:rPr>
          <w:rFonts w:ascii="Times New Roman" w:hAnsi="Times New Roman" w:cs="Times New Roman"/>
          <w:b/>
        </w:rPr>
        <w:t>ethodology</w:t>
      </w:r>
    </w:p>
    <w:p w:rsidR="002F2633" w:rsidRPr="00707806" w:rsidRDefault="002F2633" w:rsidP="00375CD0">
      <w:pPr>
        <w:rPr>
          <w:rFonts w:ascii="Times New Roman" w:hAnsi="Times New Roman" w:cs="Times New Roman"/>
        </w:rPr>
      </w:pPr>
      <w:r w:rsidRPr="00707806">
        <w:rPr>
          <w:rFonts w:ascii="Times New Roman" w:hAnsi="Times New Roman" w:cs="Times New Roman"/>
        </w:rPr>
        <w:t>The case study employed a mixed method approach including a survey of direct-care workers, semi-structured interviews with managers and consumers, and focus groups with case managers and workers. This approach allowed for a range of views on and experiences with the current arrangements for care delivery across diverse localities and provided insights into the worlds of service acquisition, provision and receipt.</w:t>
      </w:r>
      <w:r>
        <w:rPr>
          <w:rFonts w:ascii="Times New Roman" w:hAnsi="Times New Roman" w:cs="Times New Roman"/>
        </w:rPr>
        <w:t xml:space="preserve"> In addition, service information relevant to workforce and consumer profiles was obtained from the managers to contextualise the findings. </w:t>
      </w:r>
      <w:r w:rsidRPr="00707806">
        <w:rPr>
          <w:rFonts w:ascii="Times New Roman" w:hAnsi="Times New Roman" w:cs="Times New Roman"/>
        </w:rPr>
        <w:t xml:space="preserve"> </w:t>
      </w:r>
    </w:p>
    <w:p w:rsidR="002F2633" w:rsidRPr="00707806" w:rsidRDefault="002F2633" w:rsidP="00375CD0">
      <w:pPr>
        <w:rPr>
          <w:rFonts w:ascii="Times New Roman" w:hAnsi="Times New Roman" w:cs="Times New Roman"/>
        </w:rPr>
      </w:pPr>
    </w:p>
    <w:p w:rsidR="002F2633" w:rsidRPr="00707806" w:rsidRDefault="002F2633" w:rsidP="00375CD0">
      <w:pPr>
        <w:rPr>
          <w:rFonts w:ascii="Times New Roman" w:hAnsi="Times New Roman" w:cs="Times New Roman"/>
        </w:rPr>
      </w:pPr>
      <w:r w:rsidRPr="00707806">
        <w:rPr>
          <w:rFonts w:ascii="Times New Roman" w:hAnsi="Times New Roman" w:cs="Times New Roman"/>
        </w:rPr>
        <w:t>The managers’ interviews</w:t>
      </w:r>
      <w:r>
        <w:rPr>
          <w:rFonts w:ascii="Times New Roman" w:hAnsi="Times New Roman" w:cs="Times New Roman"/>
        </w:rPr>
        <w:t xml:space="preserve"> (n=8)</w:t>
      </w:r>
      <w:r w:rsidRPr="00707806">
        <w:rPr>
          <w:rFonts w:ascii="Times New Roman" w:hAnsi="Times New Roman" w:cs="Times New Roman"/>
        </w:rPr>
        <w:t xml:space="preserve"> aimed to gather information specific to the operations of the different services and their relationships with other, relevant services. These interviews were guided by a schedule of questions that pursued information about the organisations’ operations, the range of services they provide, the localities they serve, policy implications, and their staffing and consumer profiles. In addition, the schedule allowed for exploration of the managers’ capacity to achieve consumer care ideals relative to ageing in place and consumer directed care. The managers provided informed consent and the interviews were audio-recorded, lasted approximately 30 minutes to 1 hour, and were conducted at each manager’s workplace.</w:t>
      </w:r>
      <w:r>
        <w:rPr>
          <w:rFonts w:ascii="Times New Roman" w:hAnsi="Times New Roman" w:cs="Times New Roman"/>
        </w:rPr>
        <w:t xml:space="preserve"> </w:t>
      </w:r>
      <w:r w:rsidRPr="00707806">
        <w:rPr>
          <w:rFonts w:ascii="Times New Roman" w:hAnsi="Times New Roman" w:cs="Times New Roman"/>
          <w:color w:val="000000"/>
          <w:lang w:val="en-US"/>
        </w:rPr>
        <w:t xml:space="preserve">This interview data provided sound representation of the five </w:t>
      </w:r>
      <w:r w:rsidRPr="00707806">
        <w:rPr>
          <w:rFonts w:ascii="Times New Roman" w:hAnsi="Times New Roman" w:cs="Times New Roman"/>
        </w:rPr>
        <w:t xml:space="preserve">organisations, the communities they service in the larger and smaller towns, the scope of their service, and insights into the challenges of providing quality care within the current marketised environment. </w:t>
      </w:r>
    </w:p>
    <w:p w:rsidR="002F2633" w:rsidRPr="00707806" w:rsidRDefault="002F2633" w:rsidP="00375CD0">
      <w:pPr>
        <w:rPr>
          <w:rFonts w:ascii="Times New Roman" w:hAnsi="Times New Roman" w:cs="Times New Roman"/>
        </w:rPr>
      </w:pPr>
    </w:p>
    <w:p w:rsidR="002F2633" w:rsidRPr="00707806" w:rsidRDefault="002F2633" w:rsidP="00375CD0">
      <w:pPr>
        <w:rPr>
          <w:rFonts w:ascii="Times New Roman" w:hAnsi="Times New Roman" w:cs="Times New Roman"/>
        </w:rPr>
      </w:pPr>
      <w:r>
        <w:rPr>
          <w:rFonts w:ascii="Times New Roman" w:hAnsi="Times New Roman" w:cs="Times New Roman"/>
        </w:rPr>
        <w:t>The consumer i</w:t>
      </w:r>
      <w:r w:rsidRPr="00707806">
        <w:rPr>
          <w:rFonts w:ascii="Times New Roman" w:hAnsi="Times New Roman" w:cs="Times New Roman"/>
        </w:rPr>
        <w:t xml:space="preserve">nterviews were conducted with 20 participants, including 18 women, from across the North East Hume region </w:t>
      </w:r>
      <w:r>
        <w:rPr>
          <w:rFonts w:ascii="Times New Roman" w:hAnsi="Times New Roman" w:cs="Times New Roman"/>
        </w:rPr>
        <w:t xml:space="preserve">of Victoria </w:t>
      </w:r>
      <w:r w:rsidRPr="00707806">
        <w:rPr>
          <w:rFonts w:ascii="Times New Roman" w:hAnsi="Times New Roman" w:cs="Times New Roman"/>
        </w:rPr>
        <w:t xml:space="preserve">between September 2018 and January 2019. The interviews were conducted either in participants’ homes or over the telephone to facilitate the older person’s availability. Each interview took between 30-60 minutes and a range of </w:t>
      </w:r>
      <w:r w:rsidRPr="00707806">
        <w:rPr>
          <w:rFonts w:ascii="Times New Roman" w:hAnsi="Times New Roman" w:cs="Times New Roman"/>
        </w:rPr>
        <w:lastRenderedPageBreak/>
        <w:t>questions was asked to explore the participants’ experiences of accessing community aged-care funding and receiving assistance</w:t>
      </w:r>
      <w:r>
        <w:rPr>
          <w:rFonts w:ascii="Times New Roman" w:hAnsi="Times New Roman" w:cs="Times New Roman"/>
        </w:rPr>
        <w:t>.</w:t>
      </w:r>
      <w:r w:rsidRPr="00707806">
        <w:rPr>
          <w:rFonts w:ascii="Times New Roman" w:hAnsi="Times New Roman" w:cs="Times New Roman"/>
        </w:rPr>
        <w:t xml:space="preserve"> The data from the consumers’ interviews provides first-hand narratives of </w:t>
      </w:r>
      <w:r>
        <w:rPr>
          <w:rFonts w:ascii="Times New Roman" w:hAnsi="Times New Roman" w:cs="Times New Roman"/>
        </w:rPr>
        <w:t>infirmity</w:t>
      </w:r>
      <w:r w:rsidRPr="00707806">
        <w:rPr>
          <w:rFonts w:ascii="Times New Roman" w:hAnsi="Times New Roman" w:cs="Times New Roman"/>
        </w:rPr>
        <w:t xml:space="preserve"> and </w:t>
      </w:r>
      <w:r>
        <w:rPr>
          <w:rFonts w:ascii="Times New Roman" w:hAnsi="Times New Roman" w:cs="Times New Roman"/>
        </w:rPr>
        <w:t xml:space="preserve">need for support, and </w:t>
      </w:r>
      <w:r w:rsidRPr="00707806">
        <w:rPr>
          <w:rFonts w:ascii="Times New Roman" w:hAnsi="Times New Roman" w:cs="Times New Roman"/>
        </w:rPr>
        <w:t xml:space="preserve">of </w:t>
      </w:r>
      <w:r>
        <w:rPr>
          <w:rFonts w:ascii="Times New Roman" w:hAnsi="Times New Roman" w:cs="Times New Roman"/>
        </w:rPr>
        <w:t>their exercise of agency as they navigated the formal assessment systems and interacted with local providers</w:t>
      </w:r>
      <w:r w:rsidRPr="00707806">
        <w:rPr>
          <w:rFonts w:ascii="Times New Roman" w:hAnsi="Times New Roman" w:cs="Times New Roman"/>
        </w:rPr>
        <w:t>. This data complements that derived from the managers’ interviews in that it locates the receipt of care within the subjective, interactional world of consumers and highlights the role of relationships in realising agency.</w:t>
      </w:r>
      <w:r>
        <w:rPr>
          <w:rFonts w:ascii="Times New Roman" w:hAnsi="Times New Roman" w:cs="Times New Roman"/>
        </w:rPr>
        <w:t xml:space="preserve"> </w:t>
      </w:r>
    </w:p>
    <w:p w:rsidR="002F2633" w:rsidRDefault="002F2633" w:rsidP="00375CD0">
      <w:pPr>
        <w:rPr>
          <w:rFonts w:ascii="Times New Roman" w:hAnsi="Times New Roman" w:cs="Times New Roman"/>
        </w:rPr>
      </w:pPr>
    </w:p>
    <w:p w:rsidR="002F2633" w:rsidRDefault="002F2633" w:rsidP="00375CD0">
      <w:pPr>
        <w:rPr>
          <w:rFonts w:ascii="Times New Roman" w:hAnsi="Times New Roman" w:cs="Times New Roman"/>
        </w:rPr>
      </w:pPr>
      <w:r>
        <w:rPr>
          <w:rFonts w:ascii="Times New Roman" w:hAnsi="Times New Roman" w:cs="Times New Roman"/>
        </w:rPr>
        <w:t xml:space="preserve">Following transcription, the interview data were analysed by two research members who identified themes and patterns as these were framed by the interview schedules </w:t>
      </w:r>
      <w:r>
        <w:rPr>
          <w:rFonts w:ascii="Times New Roman" w:hAnsi="Times New Roman" w:cs="Times New Roman"/>
          <w:noProof/>
        </w:rPr>
        <w:t>(Miles and Huberman, 1994)</w:t>
      </w:r>
      <w:r>
        <w:rPr>
          <w:rFonts w:ascii="Times New Roman" w:hAnsi="Times New Roman" w:cs="Times New Roman"/>
        </w:rPr>
        <w:t>. Termed peer debriefing, this approach ensured that the process of data reduction was guided by the experience of the researchers who had prior knowledge of and had</w:t>
      </w:r>
      <w:r w:rsidRPr="00707806">
        <w:rPr>
          <w:rFonts w:ascii="Times New Roman" w:hAnsi="Times New Roman" w:cs="Times New Roman"/>
        </w:rPr>
        <w:t xml:space="preserve"> </w:t>
      </w:r>
      <w:r>
        <w:rPr>
          <w:rFonts w:ascii="Times New Roman" w:hAnsi="Times New Roman" w:cs="Times New Roman"/>
        </w:rPr>
        <w:t>worked in the aged care sector. For the purposes of this p</w:t>
      </w:r>
      <w:r w:rsidRPr="00707806">
        <w:rPr>
          <w:rFonts w:ascii="Times New Roman" w:hAnsi="Times New Roman" w:cs="Times New Roman"/>
        </w:rPr>
        <w:t>aper, a secondary analysis of the managers’ and consumers’ interview data was conducted</w:t>
      </w:r>
      <w:r>
        <w:rPr>
          <w:rFonts w:ascii="Times New Roman" w:hAnsi="Times New Roman" w:cs="Times New Roman"/>
        </w:rPr>
        <w:t xml:space="preserve"> to inductively formulate themes relevant to the impacts of the reformed service provision structure and process, and its emphasis on CDC.</w:t>
      </w:r>
    </w:p>
    <w:p w:rsidR="002F2633" w:rsidRDefault="002F2633" w:rsidP="00375CD0">
      <w:pPr>
        <w:rPr>
          <w:rFonts w:ascii="Times New Roman" w:hAnsi="Times New Roman" w:cs="Times New Roman"/>
        </w:rPr>
      </w:pPr>
    </w:p>
    <w:p w:rsidR="002F2633" w:rsidRPr="00707806" w:rsidRDefault="002F2633" w:rsidP="00375CD0">
      <w:pPr>
        <w:rPr>
          <w:rFonts w:ascii="Times New Roman" w:hAnsi="Times New Roman" w:cs="Times New Roman"/>
        </w:rPr>
      </w:pPr>
      <w:r w:rsidRPr="00707806">
        <w:rPr>
          <w:rFonts w:ascii="Times New Roman" w:hAnsi="Times New Roman" w:cs="Times New Roman"/>
        </w:rPr>
        <w:t>Ethics approval for the conduct of this project was provided in 2018 by both La Trobe University Human Ethics Committee HEC18261 (managers and staff) and HEC 18327 (older consumers).</w:t>
      </w:r>
      <w:r>
        <w:rPr>
          <w:rFonts w:ascii="Times New Roman" w:hAnsi="Times New Roman" w:cs="Times New Roman"/>
          <w:highlight w:val="yellow"/>
        </w:rPr>
        <w:t xml:space="preserve"> </w:t>
      </w:r>
    </w:p>
    <w:p w:rsidR="002F2633" w:rsidRPr="00707806" w:rsidRDefault="002F2633" w:rsidP="00375CD0">
      <w:pPr>
        <w:rPr>
          <w:rFonts w:ascii="Times New Roman" w:hAnsi="Times New Roman" w:cs="Times New Roman"/>
        </w:rPr>
      </w:pPr>
    </w:p>
    <w:p w:rsidR="002F2633" w:rsidRPr="00707806" w:rsidRDefault="002F2633" w:rsidP="00375CD0">
      <w:pPr>
        <w:rPr>
          <w:rFonts w:ascii="Times New Roman" w:hAnsi="Times New Roman" w:cs="Times New Roman"/>
          <w:b/>
        </w:rPr>
      </w:pPr>
      <w:r w:rsidRPr="00707806">
        <w:rPr>
          <w:rFonts w:ascii="Times New Roman" w:hAnsi="Times New Roman" w:cs="Times New Roman"/>
          <w:b/>
        </w:rPr>
        <w:t>Findings</w:t>
      </w:r>
    </w:p>
    <w:p w:rsidR="002F2633" w:rsidRPr="00707806" w:rsidRDefault="002F2633" w:rsidP="00375CD0">
      <w:pPr>
        <w:rPr>
          <w:rFonts w:ascii="Times New Roman" w:hAnsi="Times New Roman" w:cs="Times New Roman"/>
        </w:rPr>
      </w:pPr>
      <w:r>
        <w:rPr>
          <w:rFonts w:ascii="Times New Roman" w:hAnsi="Times New Roman" w:cs="Times New Roman"/>
        </w:rPr>
        <w:t>The f</w:t>
      </w:r>
      <w:r w:rsidRPr="00707806">
        <w:rPr>
          <w:rFonts w:ascii="Times New Roman" w:hAnsi="Times New Roman" w:cs="Times New Roman"/>
        </w:rPr>
        <w:t>indings are organised within the following themes:</w:t>
      </w:r>
      <w:r>
        <w:rPr>
          <w:rFonts w:ascii="Times New Roman" w:hAnsi="Times New Roman" w:cs="Times New Roman"/>
        </w:rPr>
        <w:t xml:space="preserve"> Marketised Care and CDC; Service Provision and Rurality; Sustaining Care.</w:t>
      </w:r>
    </w:p>
    <w:p w:rsidR="002F2633" w:rsidRPr="00707806" w:rsidRDefault="002F2633" w:rsidP="00375CD0">
      <w:pPr>
        <w:rPr>
          <w:rFonts w:ascii="Times New Roman" w:hAnsi="Times New Roman" w:cs="Times New Roman"/>
        </w:rPr>
      </w:pPr>
      <w:r>
        <w:rPr>
          <w:rFonts w:ascii="Times New Roman" w:hAnsi="Times New Roman" w:cs="Times New Roman"/>
        </w:rPr>
        <w:t xml:space="preserve"> </w:t>
      </w:r>
    </w:p>
    <w:p w:rsidR="002F2633" w:rsidRPr="00D82F0F" w:rsidRDefault="002F2633" w:rsidP="00375CD0">
      <w:pPr>
        <w:rPr>
          <w:rFonts w:ascii="Times New Roman" w:hAnsi="Times New Roman" w:cs="Times New Roman"/>
          <w:i/>
        </w:rPr>
      </w:pPr>
      <w:r w:rsidRPr="00D82F0F">
        <w:rPr>
          <w:rFonts w:ascii="Times New Roman" w:hAnsi="Times New Roman" w:cs="Times New Roman"/>
          <w:i/>
        </w:rPr>
        <w:t>Marketised Care and CDC</w:t>
      </w:r>
    </w:p>
    <w:p w:rsidR="002F2633" w:rsidRDefault="002F2633" w:rsidP="00375CD0">
      <w:pPr>
        <w:rPr>
          <w:rFonts w:ascii="Times New Roman" w:hAnsi="Times New Roman" w:cs="Times New Roman"/>
        </w:rPr>
      </w:pPr>
      <w:r w:rsidRPr="00707806">
        <w:rPr>
          <w:rFonts w:ascii="Times New Roman" w:hAnsi="Times New Roman" w:cs="Times New Roman"/>
        </w:rPr>
        <w:t xml:space="preserve">The </w:t>
      </w:r>
      <w:r>
        <w:rPr>
          <w:rFonts w:ascii="Times New Roman" w:hAnsi="Times New Roman" w:cs="Times New Roman"/>
        </w:rPr>
        <w:t xml:space="preserve">current arrangements for the public funding of community aged care situates consumer agency as the main driver. That is, consumers or their representatives must initiate assessment via a newly established website termed </w:t>
      </w:r>
      <w:r>
        <w:rPr>
          <w:rFonts w:ascii="Times New Roman" w:hAnsi="Times New Roman" w:cs="Times New Roman"/>
          <w:i/>
        </w:rPr>
        <w:t>My Aged Care</w:t>
      </w:r>
      <w:r>
        <w:rPr>
          <w:rFonts w:ascii="Times New Roman" w:hAnsi="Times New Roman" w:cs="Times New Roman"/>
        </w:rPr>
        <w:t xml:space="preserve"> to secure entitlement and funding. This shift assumes consumer competence and a capacity to understand the processes of assessment, eligibility and purchase of their selected care items. Entitlement to funding support via the current programs (CHPS and HCP) rests on meeting the </w:t>
      </w:r>
      <w:r w:rsidRPr="00707806">
        <w:rPr>
          <w:rFonts w:ascii="Times New Roman" w:hAnsi="Times New Roman" w:cs="Times New Roman"/>
        </w:rPr>
        <w:t xml:space="preserve">assessment criteria. Once eligibility has been established, the older person must then nominate and engage a service provider. </w:t>
      </w:r>
    </w:p>
    <w:p w:rsidR="002F2633" w:rsidRDefault="002F2633" w:rsidP="00375CD0">
      <w:pPr>
        <w:rPr>
          <w:rFonts w:ascii="Times New Roman" w:hAnsi="Times New Roman" w:cs="Times New Roman"/>
        </w:rPr>
      </w:pPr>
    </w:p>
    <w:p w:rsidR="002F2633" w:rsidRPr="00707806" w:rsidRDefault="002F2633" w:rsidP="00375CD0">
      <w:pPr>
        <w:rPr>
          <w:rFonts w:ascii="Times New Roman" w:hAnsi="Times New Roman" w:cs="Times New Roman"/>
        </w:rPr>
      </w:pPr>
      <w:r>
        <w:rPr>
          <w:rFonts w:ascii="Times New Roman" w:hAnsi="Times New Roman" w:cs="Times New Roman"/>
        </w:rPr>
        <w:lastRenderedPageBreak/>
        <w:t>T</w:t>
      </w:r>
      <w:r w:rsidRPr="00707806">
        <w:rPr>
          <w:rFonts w:ascii="Times New Roman" w:hAnsi="Times New Roman" w:cs="Times New Roman"/>
        </w:rPr>
        <w:t xml:space="preserve">he participants were asked to explain how they </w:t>
      </w:r>
      <w:r>
        <w:rPr>
          <w:rFonts w:ascii="Times New Roman" w:hAnsi="Times New Roman" w:cs="Times New Roman"/>
        </w:rPr>
        <w:t xml:space="preserve">accessed information and </w:t>
      </w:r>
      <w:r w:rsidRPr="00707806">
        <w:rPr>
          <w:rFonts w:ascii="Times New Roman" w:hAnsi="Times New Roman" w:cs="Times New Roman"/>
        </w:rPr>
        <w:t>funding</w:t>
      </w:r>
      <w:r>
        <w:rPr>
          <w:rFonts w:ascii="Times New Roman" w:hAnsi="Times New Roman" w:cs="Times New Roman"/>
        </w:rPr>
        <w:t xml:space="preserve"> and if they had received help in doing so</w:t>
      </w:r>
      <w:r w:rsidRPr="00707806">
        <w:rPr>
          <w:rFonts w:ascii="Times New Roman" w:hAnsi="Times New Roman" w:cs="Times New Roman"/>
        </w:rPr>
        <w:t xml:space="preserve">. </w:t>
      </w:r>
      <w:r>
        <w:rPr>
          <w:rFonts w:ascii="Times New Roman" w:hAnsi="Times New Roman" w:cs="Times New Roman"/>
        </w:rPr>
        <w:t>Most participants were given i</w:t>
      </w:r>
      <w:r w:rsidRPr="00707806">
        <w:rPr>
          <w:rFonts w:ascii="Times New Roman" w:hAnsi="Times New Roman" w:cs="Times New Roman"/>
        </w:rPr>
        <w:t xml:space="preserve">nformation </w:t>
      </w:r>
      <w:r>
        <w:rPr>
          <w:rFonts w:ascii="Times New Roman" w:hAnsi="Times New Roman" w:cs="Times New Roman"/>
        </w:rPr>
        <w:t>about the process</w:t>
      </w:r>
      <w:r w:rsidRPr="00707806">
        <w:rPr>
          <w:rFonts w:ascii="Times New Roman" w:hAnsi="Times New Roman" w:cs="Times New Roman"/>
        </w:rPr>
        <w:t xml:space="preserve"> by an existing care provider</w:t>
      </w:r>
      <w:r>
        <w:rPr>
          <w:rFonts w:ascii="Times New Roman" w:hAnsi="Times New Roman" w:cs="Times New Roman"/>
        </w:rPr>
        <w:t>,</w:t>
      </w:r>
      <w:r w:rsidRPr="00707806">
        <w:rPr>
          <w:rFonts w:ascii="Times New Roman" w:hAnsi="Times New Roman" w:cs="Times New Roman"/>
        </w:rPr>
        <w:t xml:space="preserve"> a healthcare professional during a hospitalisation</w:t>
      </w:r>
      <w:r>
        <w:rPr>
          <w:rFonts w:ascii="Times New Roman" w:hAnsi="Times New Roman" w:cs="Times New Roman"/>
        </w:rPr>
        <w:t xml:space="preserve"> or by family and friends</w:t>
      </w:r>
      <w:r w:rsidRPr="00707806">
        <w:rPr>
          <w:rFonts w:ascii="Times New Roman" w:hAnsi="Times New Roman" w:cs="Times New Roman"/>
        </w:rPr>
        <w:t xml:space="preserve">. </w:t>
      </w:r>
    </w:p>
    <w:p w:rsidR="002F2633" w:rsidRPr="00707806" w:rsidRDefault="002F2633" w:rsidP="00375CD0">
      <w:pPr>
        <w:pStyle w:val="Quote"/>
        <w:rPr>
          <w:rFonts w:ascii="Times New Roman" w:hAnsi="Times New Roman"/>
        </w:rPr>
      </w:pPr>
      <w:r w:rsidRPr="00707806">
        <w:rPr>
          <w:rFonts w:ascii="Times New Roman" w:hAnsi="Times New Roman"/>
        </w:rPr>
        <w:t>I was in hospital - see, I had two hips and a knee done and you had the social workers come and talk to you and all that. I think somebody suggested that they'd put in for it</w:t>
      </w:r>
      <w:r>
        <w:rPr>
          <w:rFonts w:ascii="Times New Roman" w:hAnsi="Times New Roman"/>
        </w:rPr>
        <w:t>.</w:t>
      </w:r>
      <w:r w:rsidRPr="00707806">
        <w:rPr>
          <w:rFonts w:ascii="Times New Roman" w:hAnsi="Times New Roman"/>
        </w:rPr>
        <w:t xml:space="preserve"> (2</w:t>
      </w:r>
      <w:r>
        <w:rPr>
          <w:rFonts w:ascii="Times New Roman" w:hAnsi="Times New Roman"/>
        </w:rPr>
        <w:t>)</w:t>
      </w:r>
    </w:p>
    <w:p w:rsidR="002F2633" w:rsidRPr="00707806" w:rsidRDefault="002F2633" w:rsidP="00375CD0">
      <w:pPr>
        <w:pStyle w:val="Quote"/>
        <w:rPr>
          <w:rFonts w:ascii="Times New Roman" w:hAnsi="Times New Roman"/>
        </w:rPr>
      </w:pPr>
      <w:r w:rsidRPr="00707806">
        <w:rPr>
          <w:rFonts w:ascii="Times New Roman" w:hAnsi="Times New Roman"/>
        </w:rPr>
        <w:t>[named friend]</w:t>
      </w:r>
      <w:r>
        <w:rPr>
          <w:rFonts w:ascii="Times New Roman" w:hAnsi="Times New Roman"/>
        </w:rPr>
        <w:t>…</w:t>
      </w:r>
      <w:r w:rsidRPr="00707806">
        <w:rPr>
          <w:rFonts w:ascii="Times New Roman" w:hAnsi="Times New Roman"/>
        </w:rPr>
        <w:t>and she used to come around</w:t>
      </w:r>
      <w:r>
        <w:rPr>
          <w:rFonts w:ascii="Times New Roman" w:hAnsi="Times New Roman"/>
        </w:rPr>
        <w:t>…</w:t>
      </w:r>
      <w:r w:rsidRPr="00707806">
        <w:rPr>
          <w:rFonts w:ascii="Times New Roman" w:hAnsi="Times New Roman"/>
        </w:rPr>
        <w:t>I was saying how hard it was to do the vacuuming…she said</w:t>
      </w:r>
      <w:r>
        <w:rPr>
          <w:rFonts w:ascii="Times New Roman" w:hAnsi="Times New Roman"/>
        </w:rPr>
        <w:t xml:space="preserve">…see </w:t>
      </w:r>
      <w:r w:rsidRPr="00707806">
        <w:rPr>
          <w:rFonts w:ascii="Times New Roman" w:hAnsi="Times New Roman"/>
        </w:rPr>
        <w:t>the home care people in [named local provider]. So, that's how it started. (7)</w:t>
      </w:r>
    </w:p>
    <w:p w:rsidR="002F2633" w:rsidRPr="00707806" w:rsidRDefault="002F2633" w:rsidP="00375CD0">
      <w:pPr>
        <w:rPr>
          <w:rFonts w:ascii="Times New Roman" w:hAnsi="Times New Roman" w:cs="Times New Roman"/>
          <w:lang w:eastAsia="en-AU"/>
        </w:rPr>
      </w:pPr>
      <w:r w:rsidRPr="00707806">
        <w:rPr>
          <w:rFonts w:ascii="Times New Roman" w:hAnsi="Times New Roman" w:cs="Times New Roman"/>
          <w:lang w:eastAsia="en-AU"/>
        </w:rPr>
        <w:t>Once engaged in the funding process, the</w:t>
      </w:r>
      <w:r>
        <w:rPr>
          <w:rFonts w:ascii="Times New Roman" w:hAnsi="Times New Roman" w:cs="Times New Roman"/>
          <w:lang w:eastAsia="en-AU"/>
        </w:rPr>
        <w:t xml:space="preserve"> participants</w:t>
      </w:r>
      <w:r w:rsidRPr="00707806">
        <w:rPr>
          <w:rFonts w:ascii="Times New Roman" w:hAnsi="Times New Roman" w:cs="Times New Roman"/>
          <w:lang w:eastAsia="en-AU"/>
        </w:rPr>
        <w:t xml:space="preserve"> experienced difficulty in accessing information related to the details of their package and their entitlements. In particular, the</w:t>
      </w:r>
      <w:r>
        <w:rPr>
          <w:rFonts w:ascii="Times New Roman" w:hAnsi="Times New Roman" w:cs="Times New Roman"/>
          <w:lang w:eastAsia="en-AU"/>
        </w:rPr>
        <w:t>y</w:t>
      </w:r>
      <w:r w:rsidRPr="00707806">
        <w:rPr>
          <w:rFonts w:ascii="Times New Roman" w:hAnsi="Times New Roman" w:cs="Times New Roman"/>
          <w:lang w:eastAsia="en-AU"/>
        </w:rPr>
        <w:t xml:space="preserve"> referred to the requirement of accessing information from government websites.</w:t>
      </w:r>
    </w:p>
    <w:p w:rsidR="002F2633" w:rsidRPr="00707806" w:rsidRDefault="002F2633" w:rsidP="00375CD0">
      <w:pPr>
        <w:pStyle w:val="Quote"/>
        <w:rPr>
          <w:rFonts w:ascii="Times New Roman" w:hAnsi="Times New Roman"/>
        </w:rPr>
      </w:pPr>
      <w:r>
        <w:rPr>
          <w:rFonts w:ascii="Times New Roman" w:hAnsi="Times New Roman"/>
        </w:rPr>
        <w:t>…</w:t>
      </w:r>
      <w:r w:rsidRPr="00707806">
        <w:rPr>
          <w:rFonts w:ascii="Times New Roman" w:hAnsi="Times New Roman"/>
        </w:rPr>
        <w:t>a huge website, I don't think appeals to people.</w:t>
      </w:r>
      <w:r>
        <w:rPr>
          <w:rFonts w:ascii="Times New Roman" w:hAnsi="Times New Roman"/>
        </w:rPr>
        <w:t xml:space="preserve"> </w:t>
      </w:r>
      <w:r w:rsidRPr="00707806">
        <w:rPr>
          <w:rFonts w:ascii="Times New Roman" w:hAnsi="Times New Roman"/>
        </w:rPr>
        <w:t>It will be quite all right when the current 30, 40, 50 year olds are accessing them.</w:t>
      </w:r>
      <w:r>
        <w:rPr>
          <w:rFonts w:ascii="Times New Roman" w:hAnsi="Times New Roman"/>
        </w:rPr>
        <w:t xml:space="preserve"> </w:t>
      </w:r>
      <w:r w:rsidRPr="00707806">
        <w:rPr>
          <w:rFonts w:ascii="Times New Roman" w:hAnsi="Times New Roman"/>
        </w:rPr>
        <w:t xml:space="preserve">Because they are much more computer literate than we are… </w:t>
      </w:r>
      <w:r>
        <w:rPr>
          <w:rFonts w:ascii="Times New Roman" w:hAnsi="Times New Roman"/>
        </w:rPr>
        <w:t>…</w:t>
      </w:r>
      <w:r w:rsidRPr="00707806">
        <w:rPr>
          <w:rFonts w:ascii="Times New Roman" w:hAnsi="Times New Roman"/>
        </w:rPr>
        <w:t>it was just torturous in the beginning. (5)</w:t>
      </w:r>
    </w:p>
    <w:p w:rsidR="002F2633" w:rsidRPr="00707806" w:rsidRDefault="002F2633" w:rsidP="00375CD0">
      <w:pPr>
        <w:pStyle w:val="Quote"/>
        <w:rPr>
          <w:rFonts w:ascii="Times New Roman" w:hAnsi="Times New Roman"/>
        </w:rPr>
      </w:pPr>
      <w:r w:rsidRPr="00707806">
        <w:rPr>
          <w:rFonts w:ascii="Times New Roman" w:hAnsi="Times New Roman"/>
        </w:rPr>
        <w:t>Actually my daughter did it all because at one stage I wasn't very efficient, and she seemed to think I needed it, and organised it all. (11)</w:t>
      </w:r>
    </w:p>
    <w:p w:rsidR="002F2633" w:rsidRPr="00707806" w:rsidRDefault="002F2633" w:rsidP="00375CD0">
      <w:pPr>
        <w:rPr>
          <w:rFonts w:ascii="Times New Roman" w:hAnsi="Times New Roman" w:cs="Times New Roman"/>
          <w:lang w:eastAsia="en-AU"/>
        </w:rPr>
      </w:pPr>
      <w:r>
        <w:rPr>
          <w:rFonts w:ascii="Times New Roman" w:hAnsi="Times New Roman" w:cs="Times New Roman"/>
          <w:lang w:eastAsia="en-AU"/>
        </w:rPr>
        <w:t>W</w:t>
      </w:r>
      <w:r w:rsidRPr="00707806">
        <w:rPr>
          <w:rFonts w:ascii="Times New Roman" w:hAnsi="Times New Roman" w:cs="Times New Roman"/>
          <w:lang w:eastAsia="en-AU"/>
        </w:rPr>
        <w:t xml:space="preserve">hile the participants understood the general purpose of their packages, they </w:t>
      </w:r>
      <w:r>
        <w:rPr>
          <w:rFonts w:ascii="Times New Roman" w:hAnsi="Times New Roman" w:cs="Times New Roman"/>
          <w:lang w:eastAsia="en-AU"/>
        </w:rPr>
        <w:t>reported being</w:t>
      </w:r>
      <w:r w:rsidRPr="00707806">
        <w:rPr>
          <w:rFonts w:ascii="Times New Roman" w:hAnsi="Times New Roman" w:cs="Times New Roman"/>
          <w:lang w:eastAsia="en-AU"/>
        </w:rPr>
        <w:t xml:space="preserve"> unsure about what they were entitled to under their funding agreement. </w:t>
      </w:r>
    </w:p>
    <w:p w:rsidR="002F2633" w:rsidRPr="00707806" w:rsidRDefault="002F2633" w:rsidP="00375CD0">
      <w:pPr>
        <w:pStyle w:val="Quote"/>
        <w:rPr>
          <w:rFonts w:ascii="Times New Roman" w:hAnsi="Times New Roman"/>
        </w:rPr>
      </w:pPr>
      <w:r w:rsidRPr="00707806">
        <w:rPr>
          <w:rFonts w:ascii="Times New Roman" w:hAnsi="Times New Roman"/>
        </w:rPr>
        <w:t>So it's pretty well anything that'll help me stay at home. [named community care worker] driving me out to Tallangatta next week, so I might ask her then, when we're driving along. (2)</w:t>
      </w:r>
    </w:p>
    <w:p w:rsidR="002F2633" w:rsidRPr="00707806" w:rsidRDefault="002F2633" w:rsidP="00375CD0">
      <w:pPr>
        <w:rPr>
          <w:rFonts w:ascii="Times New Roman" w:hAnsi="Times New Roman" w:cs="Times New Roman"/>
        </w:rPr>
      </w:pPr>
      <w:r>
        <w:rPr>
          <w:rFonts w:ascii="Times New Roman" w:hAnsi="Times New Roman" w:cs="Times New Roman"/>
        </w:rPr>
        <w:t xml:space="preserve">Each level of the funding process involves wait periods, often lengthy gaps between application, confirmed eligibility, funding allocation and service availability. In some cases, because of Commonwealth funding shortfall, receipt higher levels receipt of the higher levels may be delayed for many months: </w:t>
      </w:r>
    </w:p>
    <w:p w:rsidR="002F2633" w:rsidRPr="00707806" w:rsidRDefault="002F2633" w:rsidP="00375CD0">
      <w:pPr>
        <w:pStyle w:val="Quote"/>
        <w:rPr>
          <w:rFonts w:ascii="Times New Roman" w:hAnsi="Times New Roman"/>
        </w:rPr>
      </w:pPr>
      <w:r w:rsidRPr="00707806">
        <w:rPr>
          <w:rFonts w:ascii="Times New Roman" w:hAnsi="Times New Roman"/>
        </w:rPr>
        <w:lastRenderedPageBreak/>
        <w:t>I sent the papers away May last year, not this year and I didn't get it until after Christmas [this year]. (2)</w:t>
      </w:r>
    </w:p>
    <w:p w:rsidR="002F2633" w:rsidRPr="00707806" w:rsidRDefault="002F2633" w:rsidP="00375CD0">
      <w:pPr>
        <w:pStyle w:val="Quote"/>
        <w:rPr>
          <w:rFonts w:ascii="Times New Roman" w:hAnsi="Times New Roman"/>
        </w:rPr>
      </w:pPr>
      <w:r>
        <w:rPr>
          <w:rFonts w:ascii="Times New Roman" w:hAnsi="Times New Roman"/>
        </w:rPr>
        <w:t>…</w:t>
      </w:r>
      <w:r w:rsidRPr="00707806">
        <w:rPr>
          <w:rFonts w:ascii="Times New Roman" w:hAnsi="Times New Roman"/>
        </w:rPr>
        <w:t>I've been approved for a Level 3, but they're not available so it'll be a Level 2 and wait for a Level 3, but there's still another year - I rang the other day to say how long because we're in financial difficulties</w:t>
      </w:r>
      <w:r>
        <w:rPr>
          <w:rFonts w:ascii="Times New Roman" w:hAnsi="Times New Roman"/>
        </w:rPr>
        <w:t>…</w:t>
      </w:r>
      <w:r w:rsidRPr="00707806">
        <w:rPr>
          <w:rFonts w:ascii="Times New Roman" w:hAnsi="Times New Roman"/>
        </w:rPr>
        <w:t>he said oh nine to 12 months and I said oh, since application? No, from now. (17)</w:t>
      </w:r>
    </w:p>
    <w:p w:rsidR="002F2633" w:rsidRPr="00707806" w:rsidRDefault="002F2633" w:rsidP="00375CD0">
      <w:pPr>
        <w:rPr>
          <w:rFonts w:ascii="Times New Roman" w:hAnsi="Times New Roman" w:cs="Times New Roman"/>
        </w:rPr>
      </w:pPr>
      <w:r>
        <w:rPr>
          <w:rFonts w:ascii="Times New Roman" w:hAnsi="Times New Roman" w:cs="Times New Roman"/>
        </w:rPr>
        <w:t>For consumers already ‘in the system’, advice from their local provider can help them to deal with the problem of a long wait for a higher level of care. The managers provided</w:t>
      </w:r>
      <w:r w:rsidRPr="00707806">
        <w:rPr>
          <w:rFonts w:ascii="Times New Roman" w:hAnsi="Times New Roman" w:cs="Times New Roman"/>
        </w:rPr>
        <w:t xml:space="preserve"> sound reasons why consumers should not </w:t>
      </w:r>
      <w:r>
        <w:rPr>
          <w:rFonts w:ascii="Times New Roman" w:hAnsi="Times New Roman" w:cs="Times New Roman"/>
        </w:rPr>
        <w:t>accept</w:t>
      </w:r>
      <w:r w:rsidRPr="00707806">
        <w:rPr>
          <w:rFonts w:ascii="Times New Roman" w:hAnsi="Times New Roman" w:cs="Times New Roman"/>
        </w:rPr>
        <w:t xml:space="preserve"> a level of funding lower than their assessed level of need: </w:t>
      </w:r>
    </w:p>
    <w:p w:rsidR="002F2633" w:rsidRPr="00707806" w:rsidRDefault="002F2633" w:rsidP="00375CD0">
      <w:pPr>
        <w:pStyle w:val="Quote"/>
        <w:rPr>
          <w:rFonts w:ascii="Times New Roman" w:hAnsi="Times New Roman"/>
        </w:rPr>
      </w:pPr>
      <w:r w:rsidRPr="00707806">
        <w:rPr>
          <w:rFonts w:ascii="Times New Roman" w:hAnsi="Times New Roman"/>
        </w:rPr>
        <w:t>Clients get really concerned that they're going to miss out [so] they accept a level 2</w:t>
      </w:r>
      <w:r>
        <w:rPr>
          <w:rFonts w:ascii="Times New Roman" w:hAnsi="Times New Roman"/>
        </w:rPr>
        <w:t>..</w:t>
      </w:r>
      <w:r w:rsidRPr="00707806">
        <w:rPr>
          <w:rFonts w:ascii="Times New Roman" w:hAnsi="Times New Roman"/>
        </w:rPr>
        <w:t xml:space="preserve"> If they accept level 2, there's not enough money to provide the services...because everything has to go through the package</w:t>
      </w:r>
      <w:r>
        <w:rPr>
          <w:rFonts w:ascii="Times New Roman" w:hAnsi="Times New Roman"/>
        </w:rPr>
        <w:t>.</w:t>
      </w:r>
      <w:r w:rsidRPr="00707806">
        <w:rPr>
          <w:rFonts w:ascii="Times New Roman" w:hAnsi="Times New Roman"/>
        </w:rPr>
        <w:t xml:space="preserve"> (T</w:t>
      </w:r>
      <w:r>
        <w:rPr>
          <w:rFonts w:ascii="Times New Roman" w:hAnsi="Times New Roman"/>
        </w:rPr>
        <w:t>)</w:t>
      </w:r>
    </w:p>
    <w:p w:rsidR="002F2633" w:rsidRDefault="002F2633" w:rsidP="00375CD0">
      <w:pPr>
        <w:rPr>
          <w:rFonts w:ascii="Times New Roman" w:hAnsi="Times New Roman" w:cs="Times New Roman"/>
        </w:rPr>
      </w:pPr>
      <w:r>
        <w:rPr>
          <w:rFonts w:ascii="Times New Roman" w:hAnsi="Times New Roman" w:cs="Times New Roman"/>
        </w:rPr>
        <w:t xml:space="preserve">This kind of advice </w:t>
      </w:r>
      <w:r w:rsidRPr="00707806">
        <w:rPr>
          <w:rFonts w:ascii="Times New Roman" w:hAnsi="Times New Roman" w:cs="Times New Roman"/>
        </w:rPr>
        <w:t xml:space="preserve">is integral to the managers’ role given the perceived and actual hurdles that aged persons may encounter </w:t>
      </w:r>
      <w:r>
        <w:rPr>
          <w:rFonts w:ascii="Times New Roman" w:hAnsi="Times New Roman" w:cs="Times New Roman"/>
        </w:rPr>
        <w:t xml:space="preserve">as they exercise choice: it supports rather that overrides consumer agency. The managers recognise and advise on potential problems and traps that consumers may not readily perceive. For example, consumers may not understand the cost recovery arrangements which require them to pay administrative costs to their provider. Different fee structures apply across the funding levels and providers may figure these with some discretion. </w:t>
      </w:r>
    </w:p>
    <w:p w:rsidR="002F2633" w:rsidRDefault="002F2633" w:rsidP="00375CD0">
      <w:pPr>
        <w:pStyle w:val="Quote"/>
        <w:rPr>
          <w:rFonts w:ascii="Times New Roman" w:hAnsi="Times New Roman"/>
        </w:rPr>
      </w:pPr>
      <w:r>
        <w:rPr>
          <w:rFonts w:ascii="Times New Roman" w:hAnsi="Times New Roman"/>
        </w:rPr>
        <w:t>…</w:t>
      </w:r>
      <w:r w:rsidRPr="00707806">
        <w:rPr>
          <w:rFonts w:ascii="Times New Roman" w:hAnsi="Times New Roman"/>
        </w:rPr>
        <w:t>the provider take</w:t>
      </w:r>
      <w:r>
        <w:rPr>
          <w:rFonts w:ascii="Times New Roman" w:hAnsi="Times New Roman"/>
        </w:rPr>
        <w:t>s</w:t>
      </w:r>
      <w:r w:rsidRPr="00707806">
        <w:rPr>
          <w:rFonts w:ascii="Times New Roman" w:hAnsi="Times New Roman"/>
        </w:rPr>
        <w:t xml:space="preserve"> off nearly fifty per cent for the administration</w:t>
      </w:r>
      <w:r>
        <w:rPr>
          <w:rFonts w:ascii="Times New Roman" w:hAnsi="Times New Roman"/>
        </w:rPr>
        <w:t>…p</w:t>
      </w:r>
      <w:r w:rsidRPr="00707806">
        <w:rPr>
          <w:rFonts w:ascii="Times New Roman" w:hAnsi="Times New Roman"/>
        </w:rPr>
        <w:t>lus what he charge</w:t>
      </w:r>
      <w:r>
        <w:rPr>
          <w:rFonts w:ascii="Times New Roman" w:hAnsi="Times New Roman"/>
        </w:rPr>
        <w:t>s</w:t>
      </w:r>
      <w:r w:rsidRPr="00707806">
        <w:rPr>
          <w:rFonts w:ascii="Times New Roman" w:hAnsi="Times New Roman"/>
        </w:rPr>
        <w:t xml:space="preserve"> for the cleaning</w:t>
      </w:r>
      <w:r>
        <w:rPr>
          <w:rFonts w:ascii="Times New Roman" w:hAnsi="Times New Roman"/>
        </w:rPr>
        <w:t>…(2)</w:t>
      </w:r>
      <w:r w:rsidRPr="00707806">
        <w:rPr>
          <w:rFonts w:ascii="Times New Roman" w:hAnsi="Times New Roman"/>
        </w:rPr>
        <w:t xml:space="preserve"> </w:t>
      </w:r>
    </w:p>
    <w:p w:rsidR="002F2633" w:rsidRPr="00707806" w:rsidRDefault="002F2633" w:rsidP="00375CD0">
      <w:pPr>
        <w:rPr>
          <w:rFonts w:ascii="Times New Roman" w:hAnsi="Times New Roman" w:cs="Times New Roman"/>
        </w:rPr>
      </w:pPr>
      <w:r>
        <w:rPr>
          <w:rFonts w:ascii="Times New Roman" w:hAnsi="Times New Roman" w:cs="Times New Roman"/>
        </w:rPr>
        <w:t>One consumer described how she had to cancel an existing service to be able to manage to pay such costs to a new provider:</w:t>
      </w:r>
      <w:r w:rsidRPr="00707806">
        <w:rPr>
          <w:rFonts w:ascii="Times New Roman" w:hAnsi="Times New Roman" w:cs="Times New Roman"/>
        </w:rPr>
        <w:t xml:space="preserve"> </w:t>
      </w:r>
    </w:p>
    <w:p w:rsidR="002F2633" w:rsidRPr="00707806" w:rsidRDefault="002F2633" w:rsidP="00375CD0">
      <w:pPr>
        <w:pStyle w:val="Quote"/>
        <w:rPr>
          <w:rFonts w:ascii="Times New Roman" w:hAnsi="Times New Roman"/>
        </w:rPr>
      </w:pPr>
      <w:r w:rsidRPr="00707806">
        <w:rPr>
          <w:rFonts w:ascii="Times New Roman" w:hAnsi="Times New Roman"/>
        </w:rPr>
        <w:t>I was getting Meals on Wheels and it's cheap enough, I'm not complaining about that, but my bank was getting lower and lower. I thought well, it's $118 a month, so I stopped it</w:t>
      </w:r>
      <w:r>
        <w:rPr>
          <w:rFonts w:ascii="Times New Roman" w:hAnsi="Times New Roman"/>
        </w:rPr>
        <w:t>.</w:t>
      </w:r>
      <w:r w:rsidRPr="00707806">
        <w:rPr>
          <w:rFonts w:ascii="Times New Roman" w:hAnsi="Times New Roman"/>
        </w:rPr>
        <w:t xml:space="preserve"> (6)</w:t>
      </w:r>
    </w:p>
    <w:p w:rsidR="002F2633" w:rsidRPr="00707806" w:rsidRDefault="002F2633" w:rsidP="00375CD0">
      <w:pPr>
        <w:rPr>
          <w:rFonts w:ascii="Times New Roman" w:hAnsi="Times New Roman" w:cs="Times New Roman"/>
        </w:rPr>
      </w:pPr>
      <w:r>
        <w:rPr>
          <w:rFonts w:ascii="Times New Roman" w:hAnsi="Times New Roman" w:cs="Times New Roman"/>
        </w:rPr>
        <w:t>The managers held different views about their role in advising consumers within the concept of CDC. Two managers, saw that the imperative for CDC conflicts with their long-held goal of</w:t>
      </w:r>
      <w:r w:rsidRPr="00707806">
        <w:rPr>
          <w:rFonts w:ascii="Times New Roman" w:hAnsi="Times New Roman" w:cs="Times New Roman"/>
        </w:rPr>
        <w:t xml:space="preserve"> working </w:t>
      </w:r>
      <w:r>
        <w:rPr>
          <w:rFonts w:ascii="Times New Roman" w:hAnsi="Times New Roman" w:cs="Times New Roman"/>
        </w:rPr>
        <w:t xml:space="preserve">actively </w:t>
      </w:r>
      <w:r>
        <w:rPr>
          <w:rFonts w:ascii="Times New Roman" w:hAnsi="Times New Roman" w:cs="Times New Roman"/>
          <w:i/>
        </w:rPr>
        <w:t>for</w:t>
      </w:r>
      <w:r>
        <w:rPr>
          <w:rFonts w:ascii="Times New Roman" w:hAnsi="Times New Roman" w:cs="Times New Roman"/>
        </w:rPr>
        <w:t xml:space="preserve"> consumers to </w:t>
      </w:r>
      <w:r w:rsidRPr="00707806">
        <w:rPr>
          <w:rFonts w:ascii="Times New Roman" w:hAnsi="Times New Roman" w:cs="Times New Roman"/>
        </w:rPr>
        <w:t>maintain the</w:t>
      </w:r>
      <w:r>
        <w:rPr>
          <w:rFonts w:ascii="Times New Roman" w:hAnsi="Times New Roman" w:cs="Times New Roman"/>
        </w:rPr>
        <w:t>ir</w:t>
      </w:r>
      <w:r w:rsidRPr="00707806">
        <w:rPr>
          <w:rFonts w:ascii="Times New Roman" w:hAnsi="Times New Roman" w:cs="Times New Roman"/>
        </w:rPr>
        <w:t xml:space="preserve"> independence:</w:t>
      </w:r>
    </w:p>
    <w:p w:rsidR="002F2633" w:rsidRDefault="002F2633" w:rsidP="00375CD0">
      <w:pPr>
        <w:pStyle w:val="Quote"/>
        <w:rPr>
          <w:rFonts w:ascii="Times New Roman" w:hAnsi="Times New Roman"/>
        </w:rPr>
      </w:pPr>
      <w:r w:rsidRPr="00707806">
        <w:rPr>
          <w:rFonts w:ascii="Times New Roman" w:hAnsi="Times New Roman"/>
        </w:rPr>
        <w:t>…the active service approach [has] gone out the window</w:t>
      </w:r>
      <w:r>
        <w:rPr>
          <w:rFonts w:ascii="Times New Roman" w:hAnsi="Times New Roman"/>
        </w:rPr>
        <w:t>…</w:t>
      </w:r>
      <w:r w:rsidRPr="00707806">
        <w:rPr>
          <w:rFonts w:ascii="Times New Roman" w:hAnsi="Times New Roman"/>
        </w:rPr>
        <w:t xml:space="preserve">[It’s] very hard…to say, hey I’m going to work with you to keep you independent in </w:t>
      </w:r>
      <w:r w:rsidRPr="00707806">
        <w:rPr>
          <w:rFonts w:ascii="Times New Roman" w:hAnsi="Times New Roman"/>
        </w:rPr>
        <w:lastRenderedPageBreak/>
        <w:t>your home under a consumer directed care model…the forces are diametrically opposed</w:t>
      </w:r>
      <w:r>
        <w:rPr>
          <w:rFonts w:ascii="Times New Roman" w:hAnsi="Times New Roman"/>
        </w:rPr>
        <w:t>.</w:t>
      </w:r>
      <w:r w:rsidRPr="00707806">
        <w:rPr>
          <w:rFonts w:ascii="Times New Roman" w:hAnsi="Times New Roman"/>
        </w:rPr>
        <w:t xml:space="preserve"> (A)</w:t>
      </w:r>
    </w:p>
    <w:p w:rsidR="002F2633" w:rsidRPr="00707806" w:rsidRDefault="002F2633" w:rsidP="00375CD0">
      <w:pPr>
        <w:pStyle w:val="Quote"/>
        <w:rPr>
          <w:rFonts w:ascii="Times New Roman" w:hAnsi="Times New Roman"/>
        </w:rPr>
      </w:pPr>
      <w:r w:rsidRPr="00707806">
        <w:rPr>
          <w:rFonts w:ascii="Times New Roman" w:hAnsi="Times New Roman"/>
        </w:rPr>
        <w:t>…[consumers’] goals may not be our goals as providers…their goals may be to go shopping once a week</w:t>
      </w:r>
      <w:r>
        <w:rPr>
          <w:rFonts w:ascii="Times New Roman" w:hAnsi="Times New Roman"/>
        </w:rPr>
        <w:t>…</w:t>
      </w:r>
      <w:r w:rsidRPr="00707806">
        <w:rPr>
          <w:rFonts w:ascii="Times New Roman" w:hAnsi="Times New Roman"/>
        </w:rPr>
        <w:t>not be to have somebody come in and clean their kitchen that might have mice or rats in it…that's an extreme example and that's the challenge for service providers</w:t>
      </w:r>
      <w:r>
        <w:rPr>
          <w:rFonts w:ascii="Times New Roman" w:hAnsi="Times New Roman"/>
        </w:rPr>
        <w:t>. (</w:t>
      </w:r>
      <w:r w:rsidRPr="00707806">
        <w:rPr>
          <w:rFonts w:ascii="Times New Roman" w:hAnsi="Times New Roman"/>
        </w:rPr>
        <w:t>C)</w:t>
      </w:r>
    </w:p>
    <w:p w:rsidR="002F2633" w:rsidRPr="00707806" w:rsidRDefault="002F2633" w:rsidP="00375CD0">
      <w:pPr>
        <w:rPr>
          <w:rFonts w:ascii="Times New Roman" w:hAnsi="Times New Roman" w:cs="Times New Roman"/>
          <w:b/>
        </w:rPr>
      </w:pPr>
      <w:r>
        <w:rPr>
          <w:rFonts w:ascii="Times New Roman" w:hAnsi="Times New Roman" w:cs="Times New Roman"/>
        </w:rPr>
        <w:t>However, other managers saw CDC as a positive framework in which consumers and providers can work cooperatively to ensure that informed</w:t>
      </w:r>
      <w:r w:rsidRPr="00707806">
        <w:rPr>
          <w:rFonts w:ascii="Times New Roman" w:hAnsi="Times New Roman" w:cs="Times New Roman"/>
        </w:rPr>
        <w:t xml:space="preserve"> </w:t>
      </w:r>
      <w:r>
        <w:rPr>
          <w:rFonts w:ascii="Times New Roman" w:hAnsi="Times New Roman" w:cs="Times New Roman"/>
        </w:rPr>
        <w:t xml:space="preserve">care </w:t>
      </w:r>
      <w:r w:rsidRPr="00707806">
        <w:rPr>
          <w:rFonts w:ascii="Times New Roman" w:hAnsi="Times New Roman" w:cs="Times New Roman"/>
        </w:rPr>
        <w:t xml:space="preserve">choices </w:t>
      </w:r>
      <w:r>
        <w:rPr>
          <w:rFonts w:ascii="Times New Roman" w:hAnsi="Times New Roman" w:cs="Times New Roman"/>
        </w:rPr>
        <w:t xml:space="preserve">are made for their mutual benefit: </w:t>
      </w:r>
    </w:p>
    <w:p w:rsidR="002F2633" w:rsidRPr="00707806" w:rsidRDefault="002F2633" w:rsidP="00375CD0">
      <w:pPr>
        <w:pStyle w:val="Quote"/>
        <w:rPr>
          <w:rFonts w:ascii="Times New Roman" w:hAnsi="Times New Roman"/>
        </w:rPr>
      </w:pPr>
      <w:r w:rsidRPr="00707806">
        <w:rPr>
          <w:rFonts w:ascii="Times New Roman" w:hAnsi="Times New Roman"/>
        </w:rPr>
        <w:t>…[CDC] makes goal-directed care planning easy because…they’re able to tell you what they want, what they value, what they prioritise…it gives people a sense of control…its flexible, it’s a discussion…more of a co-designed kind of approach</w:t>
      </w:r>
      <w:r>
        <w:rPr>
          <w:rFonts w:ascii="Times New Roman" w:hAnsi="Times New Roman"/>
        </w:rPr>
        <w:t>,</w:t>
      </w:r>
      <w:r w:rsidRPr="00707806">
        <w:rPr>
          <w:rFonts w:ascii="Times New Roman" w:hAnsi="Times New Roman"/>
        </w:rPr>
        <w:t xml:space="preserve"> and empowering for the client</w:t>
      </w:r>
      <w:r>
        <w:rPr>
          <w:rFonts w:ascii="Times New Roman" w:hAnsi="Times New Roman"/>
        </w:rPr>
        <w:t>.</w:t>
      </w:r>
      <w:r w:rsidRPr="00707806">
        <w:rPr>
          <w:rFonts w:ascii="Times New Roman" w:hAnsi="Times New Roman"/>
        </w:rPr>
        <w:t xml:space="preserve"> (W2)</w:t>
      </w:r>
    </w:p>
    <w:p w:rsidR="002F2633" w:rsidRDefault="002F2633" w:rsidP="00375CD0">
      <w:pPr>
        <w:rPr>
          <w:rFonts w:ascii="Times New Roman" w:hAnsi="Times New Roman" w:cs="Times New Roman"/>
        </w:rPr>
      </w:pPr>
      <w:r>
        <w:rPr>
          <w:rFonts w:ascii="Times New Roman" w:hAnsi="Times New Roman" w:cs="Times New Roman"/>
        </w:rPr>
        <w:t>The exercise of consumer agency within the marketised, compe</w:t>
      </w:r>
      <w:r w:rsidRPr="00707806">
        <w:rPr>
          <w:rFonts w:ascii="Times New Roman" w:hAnsi="Times New Roman" w:cs="Times New Roman"/>
        </w:rPr>
        <w:t xml:space="preserve">titive environment </w:t>
      </w:r>
      <w:r>
        <w:rPr>
          <w:rFonts w:ascii="Times New Roman" w:hAnsi="Times New Roman" w:cs="Times New Roman"/>
        </w:rPr>
        <w:t>is not straightforward. Consumers may be tempted to make poor choices from the array of providers and differently costed items</w:t>
      </w:r>
      <w:r w:rsidRPr="00707806">
        <w:rPr>
          <w:rFonts w:ascii="Times New Roman" w:hAnsi="Times New Roman" w:cs="Times New Roman"/>
        </w:rPr>
        <w:t xml:space="preserve">. </w:t>
      </w:r>
      <w:r>
        <w:rPr>
          <w:rFonts w:ascii="Times New Roman" w:hAnsi="Times New Roman" w:cs="Times New Roman"/>
        </w:rPr>
        <w:t>They</w:t>
      </w:r>
      <w:r w:rsidRPr="00707806">
        <w:rPr>
          <w:rFonts w:ascii="Times New Roman" w:hAnsi="Times New Roman" w:cs="Times New Roman"/>
        </w:rPr>
        <w:t xml:space="preserve"> may </w:t>
      </w:r>
      <w:r>
        <w:rPr>
          <w:rFonts w:ascii="Times New Roman" w:hAnsi="Times New Roman" w:cs="Times New Roman"/>
        </w:rPr>
        <w:t>select a remotely located provider on the basis of</w:t>
      </w:r>
      <w:r w:rsidRPr="00707806">
        <w:rPr>
          <w:rFonts w:ascii="Times New Roman" w:hAnsi="Times New Roman" w:cs="Times New Roman"/>
        </w:rPr>
        <w:t xml:space="preserve"> </w:t>
      </w:r>
      <w:r>
        <w:rPr>
          <w:rFonts w:ascii="Times New Roman" w:hAnsi="Times New Roman" w:cs="Times New Roman"/>
        </w:rPr>
        <w:t xml:space="preserve">cheaper </w:t>
      </w:r>
      <w:r w:rsidRPr="00707806">
        <w:rPr>
          <w:rFonts w:ascii="Times New Roman" w:hAnsi="Times New Roman" w:cs="Times New Roman"/>
        </w:rPr>
        <w:t>c</w:t>
      </w:r>
      <w:r>
        <w:rPr>
          <w:rFonts w:ascii="Times New Roman" w:hAnsi="Times New Roman" w:cs="Times New Roman"/>
        </w:rPr>
        <w:t xml:space="preserve">are items. </w:t>
      </w:r>
      <w:r w:rsidRPr="00707806">
        <w:rPr>
          <w:rFonts w:ascii="Times New Roman" w:hAnsi="Times New Roman" w:cs="Times New Roman"/>
        </w:rPr>
        <w:t xml:space="preserve">Poor choices that do not directly support </w:t>
      </w:r>
      <w:r>
        <w:rPr>
          <w:rFonts w:ascii="Times New Roman" w:hAnsi="Times New Roman" w:cs="Times New Roman"/>
        </w:rPr>
        <w:t xml:space="preserve">consumers’ </w:t>
      </w:r>
      <w:r w:rsidRPr="00707806">
        <w:rPr>
          <w:rFonts w:ascii="Times New Roman" w:hAnsi="Times New Roman" w:cs="Times New Roman"/>
        </w:rPr>
        <w:t>capacity for independent living may impact on care outcomes</w:t>
      </w:r>
      <w:r>
        <w:rPr>
          <w:rFonts w:ascii="Times New Roman" w:hAnsi="Times New Roman" w:cs="Times New Roman"/>
        </w:rPr>
        <w:t xml:space="preserve">. Even when remote providers broker local services to deliver the chosen items, they lack the immediate </w:t>
      </w:r>
      <w:r w:rsidRPr="00707806">
        <w:rPr>
          <w:rFonts w:ascii="Times New Roman" w:hAnsi="Times New Roman" w:cs="Times New Roman"/>
        </w:rPr>
        <w:t xml:space="preserve">capacity to oversee care and </w:t>
      </w:r>
      <w:r>
        <w:rPr>
          <w:rFonts w:ascii="Times New Roman" w:hAnsi="Times New Roman" w:cs="Times New Roman"/>
        </w:rPr>
        <w:t xml:space="preserve">respond to </w:t>
      </w:r>
      <w:r w:rsidRPr="00707806">
        <w:rPr>
          <w:rFonts w:ascii="Times New Roman" w:hAnsi="Times New Roman" w:cs="Times New Roman"/>
        </w:rPr>
        <w:t>changing care needs</w:t>
      </w:r>
      <w:r>
        <w:rPr>
          <w:rFonts w:ascii="Times New Roman" w:hAnsi="Times New Roman" w:cs="Times New Roman"/>
        </w:rPr>
        <w:t>:</w:t>
      </w:r>
      <w:r w:rsidRPr="00707806">
        <w:rPr>
          <w:rFonts w:ascii="Times New Roman" w:hAnsi="Times New Roman" w:cs="Times New Roman"/>
        </w:rPr>
        <w:t xml:space="preserve"> </w:t>
      </w:r>
    </w:p>
    <w:p w:rsidR="002F2633" w:rsidRPr="00707806" w:rsidRDefault="002F2633" w:rsidP="00375CD0">
      <w:pPr>
        <w:pStyle w:val="Quote"/>
        <w:rPr>
          <w:rFonts w:ascii="Times New Roman" w:hAnsi="Times New Roman"/>
        </w:rPr>
      </w:pPr>
      <w:r w:rsidRPr="00707806">
        <w:rPr>
          <w:rFonts w:ascii="Times New Roman" w:hAnsi="Times New Roman"/>
        </w:rPr>
        <w:t xml:space="preserve">[named service provider] is in Melbourne and also put some office in Shepparton and Wangaratta but not in locally. </w:t>
      </w:r>
      <w:r>
        <w:rPr>
          <w:rFonts w:ascii="Times New Roman" w:hAnsi="Times New Roman"/>
        </w:rPr>
        <w:t xml:space="preserve">[It’s] </w:t>
      </w:r>
      <w:r w:rsidRPr="00707806">
        <w:rPr>
          <w:rFonts w:ascii="Times New Roman" w:hAnsi="Times New Roman"/>
        </w:rPr>
        <w:t>very bad service, because if I ring up with the phone number if I want something, ring up Melbourne, Melbourne ring up Wangaratta, Wangaratta ring up</w:t>
      </w:r>
      <w:r>
        <w:rPr>
          <w:rFonts w:ascii="Times New Roman" w:hAnsi="Times New Roman"/>
        </w:rPr>
        <w:t>…</w:t>
      </w:r>
      <w:r w:rsidRPr="00707806">
        <w:rPr>
          <w:rFonts w:ascii="Times New Roman" w:hAnsi="Times New Roman"/>
        </w:rPr>
        <w:t>the lady who look after the carer […] Sometimes I ring three, four times and even never got a answer</w:t>
      </w:r>
      <w:r>
        <w:rPr>
          <w:rFonts w:ascii="Times New Roman" w:hAnsi="Times New Roman"/>
        </w:rPr>
        <w:t>.</w:t>
      </w:r>
      <w:r w:rsidRPr="00707806">
        <w:rPr>
          <w:rFonts w:ascii="Times New Roman" w:hAnsi="Times New Roman"/>
        </w:rPr>
        <w:t xml:space="preserve"> (2)</w:t>
      </w:r>
    </w:p>
    <w:p w:rsidR="002F2633" w:rsidRPr="00707806" w:rsidRDefault="002F2633" w:rsidP="00375CD0">
      <w:pPr>
        <w:rPr>
          <w:rFonts w:ascii="Times New Roman" w:hAnsi="Times New Roman" w:cs="Times New Roman"/>
        </w:rPr>
      </w:pPr>
      <w:r w:rsidRPr="00707806">
        <w:rPr>
          <w:rFonts w:ascii="Times New Roman" w:hAnsi="Times New Roman" w:cs="Times New Roman"/>
        </w:rPr>
        <w:t xml:space="preserve">Unlike the Services in this study, </w:t>
      </w:r>
      <w:r>
        <w:rPr>
          <w:rFonts w:ascii="Times New Roman" w:hAnsi="Times New Roman" w:cs="Times New Roman"/>
        </w:rPr>
        <w:t xml:space="preserve">remotely located providers </w:t>
      </w:r>
      <w:r w:rsidRPr="00707806">
        <w:rPr>
          <w:rFonts w:ascii="Times New Roman" w:hAnsi="Times New Roman" w:cs="Times New Roman"/>
        </w:rPr>
        <w:t xml:space="preserve">are not positioned to collaborate with the local community of professionals and </w:t>
      </w:r>
      <w:r>
        <w:rPr>
          <w:rFonts w:ascii="Times New Roman" w:hAnsi="Times New Roman" w:cs="Times New Roman"/>
        </w:rPr>
        <w:t>S</w:t>
      </w:r>
      <w:r w:rsidRPr="00707806">
        <w:rPr>
          <w:rFonts w:ascii="Times New Roman" w:hAnsi="Times New Roman" w:cs="Times New Roman"/>
        </w:rPr>
        <w:t>ervices to ensure continuous and responsive care. Local service providers are well-placed to provide advice and to augment package shortfalls:</w:t>
      </w:r>
    </w:p>
    <w:p w:rsidR="002F2633" w:rsidRPr="00707806" w:rsidRDefault="002F2633" w:rsidP="00375CD0">
      <w:pPr>
        <w:pStyle w:val="Quote"/>
        <w:rPr>
          <w:rFonts w:ascii="Times New Roman" w:hAnsi="Times New Roman"/>
        </w:rPr>
      </w:pPr>
      <w:r w:rsidRPr="00707806">
        <w:rPr>
          <w:rFonts w:ascii="Times New Roman" w:hAnsi="Times New Roman"/>
        </w:rPr>
        <w:lastRenderedPageBreak/>
        <w:t xml:space="preserve">…nobody will be disadvantaged because of finances. It's in our policies at </w:t>
      </w:r>
      <w:r>
        <w:rPr>
          <w:rFonts w:ascii="Times New Roman" w:hAnsi="Times New Roman"/>
        </w:rPr>
        <w:t>[named service]</w:t>
      </w:r>
      <w:r w:rsidRPr="00707806">
        <w:rPr>
          <w:rFonts w:ascii="Times New Roman" w:hAnsi="Times New Roman"/>
        </w:rPr>
        <w:t>so we will look at fee waivers, we will look at what we can do to keep these people at home and give them services</w:t>
      </w:r>
      <w:r>
        <w:rPr>
          <w:rFonts w:ascii="Times New Roman" w:hAnsi="Times New Roman"/>
        </w:rPr>
        <w:t>.</w:t>
      </w:r>
      <w:r w:rsidRPr="00707806">
        <w:rPr>
          <w:rFonts w:ascii="Times New Roman" w:hAnsi="Times New Roman"/>
        </w:rPr>
        <w:t xml:space="preserve"> (B2)</w:t>
      </w:r>
    </w:p>
    <w:p w:rsidR="002F2633" w:rsidRPr="00707806" w:rsidRDefault="002F2633" w:rsidP="00375CD0">
      <w:pPr>
        <w:rPr>
          <w:rFonts w:ascii="Times New Roman" w:eastAsiaTheme="minorHAnsi" w:hAnsi="Times New Roman" w:cs="Times New Roman"/>
        </w:rPr>
      </w:pPr>
      <w:r>
        <w:rPr>
          <w:rFonts w:ascii="Times New Roman" w:hAnsi="Times New Roman" w:cs="Times New Roman"/>
        </w:rPr>
        <w:t xml:space="preserve">For providers, the diverse mix of </w:t>
      </w:r>
      <w:r w:rsidRPr="00707806">
        <w:rPr>
          <w:rFonts w:ascii="Times New Roman" w:hAnsi="Times New Roman" w:cs="Times New Roman"/>
        </w:rPr>
        <w:t>programs, funding and regulations</w:t>
      </w:r>
      <w:r>
        <w:rPr>
          <w:rFonts w:ascii="Times New Roman" w:hAnsi="Times New Roman" w:cs="Times New Roman"/>
        </w:rPr>
        <w:t xml:space="preserve"> complicate care delivery and impact on consumer choice and equity.</w:t>
      </w:r>
      <w:r w:rsidRPr="00707806">
        <w:rPr>
          <w:rFonts w:ascii="Times New Roman" w:hAnsi="Times New Roman" w:cs="Times New Roman"/>
        </w:rPr>
        <w:t xml:space="preserve"> For example, </w:t>
      </w:r>
      <w:r>
        <w:rPr>
          <w:rFonts w:ascii="Times New Roman" w:hAnsi="Times New Roman" w:cs="Times New Roman"/>
        </w:rPr>
        <w:t xml:space="preserve">the </w:t>
      </w:r>
      <w:r w:rsidRPr="00707806">
        <w:rPr>
          <w:rFonts w:ascii="Times New Roman" w:hAnsi="Times New Roman" w:cs="Times New Roman"/>
        </w:rPr>
        <w:t>Commonwealth Home Support Program (CHSP) funding provides entry level services for domestic</w:t>
      </w:r>
      <w:r>
        <w:rPr>
          <w:rFonts w:ascii="Times New Roman" w:hAnsi="Times New Roman" w:cs="Times New Roman"/>
        </w:rPr>
        <w:t xml:space="preserve"> tasks</w:t>
      </w:r>
      <w:r w:rsidRPr="00707806">
        <w:rPr>
          <w:rFonts w:ascii="Times New Roman" w:hAnsi="Times New Roman" w:cs="Times New Roman"/>
        </w:rPr>
        <w:t xml:space="preserve">, personal care, shopping assistance, respite, home and garden maintenance, and transport. Funding and standards for identical tasks are set differently according to the </w:t>
      </w:r>
      <w:r>
        <w:rPr>
          <w:rFonts w:ascii="Times New Roman" w:hAnsi="Times New Roman" w:cs="Times New Roman"/>
        </w:rPr>
        <w:t xml:space="preserve">government </w:t>
      </w:r>
      <w:r w:rsidRPr="00707806">
        <w:rPr>
          <w:rFonts w:ascii="Times New Roman" w:hAnsi="Times New Roman" w:cs="Times New Roman"/>
        </w:rPr>
        <w:t xml:space="preserve">program through which they are delivered. One manager illustrated the impact of this inconsistency, using </w:t>
      </w:r>
      <w:r>
        <w:rPr>
          <w:rFonts w:ascii="Times New Roman" w:hAnsi="Times New Roman" w:cs="Times New Roman"/>
        </w:rPr>
        <w:t xml:space="preserve">the example of </w:t>
      </w:r>
      <w:r w:rsidRPr="00707806">
        <w:rPr>
          <w:rFonts w:ascii="Times New Roman" w:hAnsi="Times New Roman" w:cs="Times New Roman"/>
        </w:rPr>
        <w:t xml:space="preserve">a ‘shower’ as </w:t>
      </w:r>
      <w:r>
        <w:rPr>
          <w:rFonts w:ascii="Times New Roman" w:hAnsi="Times New Roman" w:cs="Times New Roman"/>
        </w:rPr>
        <w:t>it is regulated and funded across various programs:</w:t>
      </w:r>
    </w:p>
    <w:p w:rsidR="002F2633" w:rsidRPr="00707806" w:rsidRDefault="002F2633" w:rsidP="00375CD0">
      <w:pPr>
        <w:pStyle w:val="Quote"/>
        <w:rPr>
          <w:rFonts w:ascii="Times New Roman" w:hAnsi="Times New Roman"/>
        </w:rPr>
      </w:pPr>
      <w:r w:rsidRPr="00707806">
        <w:rPr>
          <w:rFonts w:ascii="Times New Roman" w:hAnsi="Times New Roman"/>
        </w:rPr>
        <w:t>…it could come under five separate sets of standards</w:t>
      </w:r>
      <w:r>
        <w:rPr>
          <w:rFonts w:ascii="Times New Roman" w:hAnsi="Times New Roman"/>
        </w:rPr>
        <w:t>…</w:t>
      </w:r>
      <w:r w:rsidRPr="00707806">
        <w:rPr>
          <w:rFonts w:ascii="Times New Roman" w:hAnsi="Times New Roman"/>
        </w:rPr>
        <w:t xml:space="preserve">a Home Care Package it’s one set of things to comply with, if it’s Commonwealth Home Support Program </w:t>
      </w:r>
      <w:r>
        <w:rPr>
          <w:rFonts w:ascii="Times New Roman" w:hAnsi="Times New Roman"/>
        </w:rPr>
        <w:t xml:space="preserve">[CHSP] </w:t>
      </w:r>
      <w:r w:rsidRPr="00707806">
        <w:rPr>
          <w:rFonts w:ascii="Times New Roman" w:hAnsi="Times New Roman"/>
        </w:rPr>
        <w:t xml:space="preserve">it’ll be something else, if it’s Veteran Affairs - another set…if it’s </w:t>
      </w:r>
      <w:r>
        <w:rPr>
          <w:rFonts w:ascii="Times New Roman" w:hAnsi="Times New Roman"/>
        </w:rPr>
        <w:t>N</w:t>
      </w:r>
      <w:r w:rsidRPr="00707806">
        <w:rPr>
          <w:rFonts w:ascii="Times New Roman" w:hAnsi="Times New Roman"/>
        </w:rPr>
        <w:t>DIS another set of standards and if it’s Home and Community Care it’s another set..same shower, five sets of standards…and five sets of prices too</w:t>
      </w:r>
      <w:r>
        <w:rPr>
          <w:rFonts w:ascii="Times New Roman" w:hAnsi="Times New Roman"/>
        </w:rPr>
        <w:t>.</w:t>
      </w:r>
      <w:r w:rsidRPr="00707806">
        <w:rPr>
          <w:rFonts w:ascii="Times New Roman" w:hAnsi="Times New Roman"/>
        </w:rPr>
        <w:t xml:space="preserve"> (A)</w:t>
      </w:r>
    </w:p>
    <w:p w:rsidR="002F2633" w:rsidRDefault="002F2633" w:rsidP="00375CD0">
      <w:pPr>
        <w:rPr>
          <w:rFonts w:ascii="Times New Roman" w:hAnsi="Times New Roman" w:cs="Times New Roman"/>
        </w:rPr>
      </w:pPr>
      <w:r w:rsidRPr="00707806">
        <w:rPr>
          <w:rFonts w:ascii="Times New Roman" w:hAnsi="Times New Roman" w:cs="Times New Roman"/>
        </w:rPr>
        <w:t xml:space="preserve">For the managers, this complex division of program funding and standards must be clarified to provide task guidelines for </w:t>
      </w:r>
      <w:r>
        <w:rPr>
          <w:rFonts w:ascii="Times New Roman" w:hAnsi="Times New Roman" w:cs="Times New Roman"/>
        </w:rPr>
        <w:t xml:space="preserve">their </w:t>
      </w:r>
      <w:r w:rsidRPr="00707806">
        <w:rPr>
          <w:rFonts w:ascii="Times New Roman" w:hAnsi="Times New Roman" w:cs="Times New Roman"/>
        </w:rPr>
        <w:t xml:space="preserve">direct care workers. Older people too may need explanation to help them to understand why their care items </w:t>
      </w:r>
      <w:r>
        <w:rPr>
          <w:rFonts w:ascii="Times New Roman" w:hAnsi="Times New Roman" w:cs="Times New Roman"/>
        </w:rPr>
        <w:t xml:space="preserve">and procedures </w:t>
      </w:r>
      <w:r w:rsidRPr="00707806">
        <w:rPr>
          <w:rFonts w:ascii="Times New Roman" w:hAnsi="Times New Roman" w:cs="Times New Roman"/>
        </w:rPr>
        <w:t>differ from those of their peers in terms of cost and procedu</w:t>
      </w:r>
      <w:bookmarkStart w:id="0" w:name="_Toc4585998"/>
      <w:r>
        <w:rPr>
          <w:rFonts w:ascii="Times New Roman" w:hAnsi="Times New Roman" w:cs="Times New Roman"/>
        </w:rPr>
        <w:t>re.</w:t>
      </w:r>
    </w:p>
    <w:p w:rsidR="002F2633" w:rsidRDefault="002F2633" w:rsidP="00375CD0">
      <w:pPr>
        <w:rPr>
          <w:rFonts w:ascii="Times New Roman" w:hAnsi="Times New Roman" w:cs="Times New Roman"/>
        </w:rPr>
      </w:pPr>
    </w:p>
    <w:bookmarkEnd w:id="0"/>
    <w:p w:rsidR="002F2633" w:rsidRPr="00707806" w:rsidRDefault="002F2633" w:rsidP="00375CD0">
      <w:pPr>
        <w:rPr>
          <w:rFonts w:ascii="Times New Roman" w:hAnsi="Times New Roman" w:cs="Times New Roman"/>
        </w:rPr>
      </w:pPr>
      <w:r>
        <w:rPr>
          <w:rFonts w:ascii="Times New Roman" w:hAnsi="Times New Roman" w:cs="Times New Roman"/>
        </w:rPr>
        <w:t xml:space="preserve">Our data indicates that consumers are likely to be confused about the process of assessment and choice of providers and care items. For those already receiving care from local providers, the decision was made to remain </w:t>
      </w:r>
      <w:r w:rsidRPr="00707806">
        <w:rPr>
          <w:rFonts w:ascii="Times New Roman" w:hAnsi="Times New Roman" w:cs="Times New Roman"/>
        </w:rPr>
        <w:t xml:space="preserve">with their current provider. </w:t>
      </w:r>
      <w:r>
        <w:rPr>
          <w:rFonts w:ascii="Times New Roman" w:hAnsi="Times New Roman" w:cs="Times New Roman"/>
        </w:rPr>
        <w:t xml:space="preserve">This decision meant that their range of choice was limited to those items offered by this provider. However, the benefits associated with local and rurally-based care delivery offset any narrowing of choice. </w:t>
      </w:r>
    </w:p>
    <w:p w:rsidR="002F2633" w:rsidRDefault="002F2633" w:rsidP="00375CD0">
      <w:pPr>
        <w:rPr>
          <w:rFonts w:ascii="Times New Roman" w:hAnsi="Times New Roman" w:cs="Times New Roman"/>
        </w:rPr>
      </w:pPr>
    </w:p>
    <w:p w:rsidR="002F2633" w:rsidRPr="00E03B91" w:rsidRDefault="002F2633" w:rsidP="00375CD0">
      <w:pPr>
        <w:rPr>
          <w:rFonts w:ascii="Times New Roman" w:hAnsi="Times New Roman" w:cs="Times New Roman"/>
          <w:i/>
        </w:rPr>
      </w:pPr>
      <w:r w:rsidRPr="00E03B91">
        <w:rPr>
          <w:rFonts w:ascii="Times New Roman" w:hAnsi="Times New Roman" w:cs="Times New Roman"/>
          <w:i/>
        </w:rPr>
        <w:t>Service Provision and Rurality</w:t>
      </w:r>
    </w:p>
    <w:p w:rsidR="002F2633" w:rsidRPr="00707806" w:rsidRDefault="002F2633" w:rsidP="00375CD0">
      <w:pPr>
        <w:rPr>
          <w:rFonts w:ascii="Times New Roman" w:eastAsiaTheme="minorHAnsi" w:hAnsi="Times New Roman" w:cs="Times New Roman"/>
        </w:rPr>
      </w:pPr>
      <w:r w:rsidRPr="00707806">
        <w:rPr>
          <w:rFonts w:ascii="Times New Roman" w:hAnsi="Times New Roman" w:cs="Times New Roman"/>
        </w:rPr>
        <w:t xml:space="preserve">The service providers operate out of a variety of settings. Multiple service sites include in-patient, day care, community and residential services. The services delivered by a single provider </w:t>
      </w:r>
      <w:r>
        <w:rPr>
          <w:rFonts w:ascii="Times New Roman" w:hAnsi="Times New Roman" w:cs="Times New Roman"/>
        </w:rPr>
        <w:t>are necessarily</w:t>
      </w:r>
      <w:r w:rsidRPr="00707806">
        <w:rPr>
          <w:rFonts w:ascii="Times New Roman" w:hAnsi="Times New Roman" w:cs="Times New Roman"/>
        </w:rPr>
        <w:t xml:space="preserve"> wide ranging, for example:</w:t>
      </w:r>
    </w:p>
    <w:p w:rsidR="002F2633" w:rsidRDefault="002F2633" w:rsidP="00375CD0">
      <w:pPr>
        <w:pStyle w:val="Quote"/>
        <w:rPr>
          <w:rFonts w:ascii="Times New Roman" w:hAnsi="Times New Roman"/>
        </w:rPr>
      </w:pPr>
      <w:r w:rsidRPr="00707806">
        <w:rPr>
          <w:rFonts w:ascii="Times New Roman" w:hAnsi="Times New Roman"/>
        </w:rPr>
        <w:lastRenderedPageBreak/>
        <w:t>…home care, personal care, respite care, planned activity groups, meals on wheels, other food services, social and individual support…district nursing… We deliver services under Commonwealth Home Support funding and under Home and Community Care (under 65). We've also got the contract for Veterans' Home Care for here and Corryong. We also provide services to consumers who hold packages levels 1-4…we don't actually hold the packages here [but] the organisation holding the packages will come to us and request the services</w:t>
      </w:r>
    </w:p>
    <w:p w:rsidR="002F2633" w:rsidRPr="00707806" w:rsidRDefault="002F2633" w:rsidP="00375CD0">
      <w:pPr>
        <w:pStyle w:val="Quote"/>
        <w:rPr>
          <w:rFonts w:ascii="Times New Roman" w:hAnsi="Times New Roman"/>
        </w:rPr>
      </w:pPr>
      <w:r w:rsidRPr="00707806">
        <w:rPr>
          <w:rFonts w:ascii="Times New Roman" w:hAnsi="Times New Roman"/>
        </w:rPr>
        <w:t>We've got the full range of allied health services; podiatry, physiotherapy, OT, dietetics, speech therapy, allied heath assistant, OT, health promotion… we provide services to residential aged care, to the acute and TCP beds… and also to the community</w:t>
      </w:r>
      <w:r>
        <w:rPr>
          <w:rFonts w:ascii="Times New Roman" w:hAnsi="Times New Roman"/>
        </w:rPr>
        <w:t xml:space="preserve"> -m</w:t>
      </w:r>
      <w:r w:rsidRPr="00707806">
        <w:rPr>
          <w:rFonts w:ascii="Times New Roman" w:hAnsi="Times New Roman"/>
        </w:rPr>
        <w:t>ainly outpatients but we do some home visiting</w:t>
      </w:r>
      <w:r>
        <w:rPr>
          <w:rFonts w:ascii="Times New Roman" w:hAnsi="Times New Roman"/>
        </w:rPr>
        <w:t>.</w:t>
      </w:r>
      <w:r w:rsidRPr="00707806">
        <w:rPr>
          <w:rFonts w:ascii="Times New Roman" w:hAnsi="Times New Roman"/>
        </w:rPr>
        <w:t xml:space="preserve"> (B1)</w:t>
      </w:r>
    </w:p>
    <w:p w:rsidR="002F2633" w:rsidRPr="00707806" w:rsidRDefault="002F2633" w:rsidP="00375CD0">
      <w:pPr>
        <w:rPr>
          <w:rFonts w:ascii="Times New Roman" w:hAnsi="Times New Roman" w:cs="Times New Roman"/>
        </w:rPr>
      </w:pPr>
    </w:p>
    <w:p w:rsidR="002F2633" w:rsidRPr="00707806" w:rsidRDefault="002F2633" w:rsidP="00375CD0">
      <w:pPr>
        <w:rPr>
          <w:rFonts w:ascii="Times New Roman" w:hAnsi="Times New Roman" w:cs="Times New Roman"/>
        </w:rPr>
      </w:pPr>
      <w:r w:rsidRPr="00707806">
        <w:rPr>
          <w:rFonts w:ascii="Times New Roman" w:hAnsi="Times New Roman" w:cs="Times New Roman"/>
        </w:rPr>
        <w:t xml:space="preserve">This broad set of services </w:t>
      </w:r>
      <w:r>
        <w:rPr>
          <w:rFonts w:ascii="Times New Roman" w:hAnsi="Times New Roman" w:cs="Times New Roman"/>
        </w:rPr>
        <w:t xml:space="preserve">delivered </w:t>
      </w:r>
      <w:r w:rsidRPr="00707806">
        <w:rPr>
          <w:rFonts w:ascii="Times New Roman" w:hAnsi="Times New Roman" w:cs="Times New Roman"/>
        </w:rPr>
        <w:t xml:space="preserve">across a large rural location means that the health and functionality of consumers may be observed by different health care workers: </w:t>
      </w:r>
    </w:p>
    <w:p w:rsidR="002F2633" w:rsidRPr="00707806" w:rsidRDefault="002F2633" w:rsidP="00375CD0">
      <w:pPr>
        <w:pStyle w:val="Quote"/>
        <w:rPr>
          <w:rFonts w:ascii="Times New Roman" w:hAnsi="Times New Roman"/>
        </w:rPr>
      </w:pPr>
      <w:r w:rsidRPr="00707806">
        <w:rPr>
          <w:rFonts w:ascii="Times New Roman" w:hAnsi="Times New Roman"/>
        </w:rPr>
        <w:t>Where we're lucky here is that we have got a lot of services being delivered from Tallangatta Health Service. So you very quickly identify if there's an issue with the client. Because we've got different staff going in…they will sometimes pick up if something is going on in that house...feedback can come back to me quickly</w:t>
      </w:r>
      <w:r>
        <w:rPr>
          <w:rFonts w:ascii="Times New Roman" w:hAnsi="Times New Roman"/>
        </w:rPr>
        <w:t>.</w:t>
      </w:r>
      <w:r w:rsidRPr="00707806">
        <w:rPr>
          <w:rFonts w:ascii="Times New Roman" w:hAnsi="Times New Roman"/>
        </w:rPr>
        <w:t xml:space="preserve"> (T)</w:t>
      </w:r>
    </w:p>
    <w:p w:rsidR="002F2633" w:rsidRPr="00707806" w:rsidRDefault="002F2633" w:rsidP="00375CD0">
      <w:pPr>
        <w:rPr>
          <w:rFonts w:ascii="Times New Roman" w:hAnsi="Times New Roman" w:cs="Times New Roman"/>
        </w:rPr>
      </w:pPr>
      <w:r w:rsidRPr="00707806">
        <w:rPr>
          <w:rFonts w:ascii="Times New Roman" w:hAnsi="Times New Roman" w:cs="Times New Roman"/>
        </w:rPr>
        <w:t xml:space="preserve">In rural communities, the close relationship between co-located and other, local health services means that consumers are serviced within a local care spectrum and may be well known to care coordinators and workers, and to related health service professionals such as pharmacists, GPs, occupational therapists, podiatrists, physiotherapists and district nurses. </w:t>
      </w:r>
    </w:p>
    <w:p w:rsidR="002F2633" w:rsidRPr="00707806" w:rsidRDefault="002F2633" w:rsidP="00375CD0">
      <w:pPr>
        <w:pStyle w:val="Quote"/>
        <w:rPr>
          <w:rFonts w:ascii="Times New Roman" w:hAnsi="Times New Roman"/>
        </w:rPr>
      </w:pPr>
      <w:r w:rsidRPr="00707806">
        <w:rPr>
          <w:rFonts w:ascii="Times New Roman" w:hAnsi="Times New Roman"/>
        </w:rPr>
        <w:t>One of the things our</w:t>
      </w:r>
      <w:r>
        <w:rPr>
          <w:rFonts w:ascii="Times New Roman" w:hAnsi="Times New Roman"/>
        </w:rPr>
        <w:t>…</w:t>
      </w:r>
      <w:r w:rsidRPr="00707806">
        <w:rPr>
          <w:rFonts w:ascii="Times New Roman" w:hAnsi="Times New Roman"/>
        </w:rPr>
        <w:t>complex care coordinator, has put in place is a shared care meeting with the home care providers…the local surgery, the local surgery, the pharmacy, and allied health and community nursing.</w:t>
      </w:r>
      <w:r>
        <w:rPr>
          <w:rFonts w:ascii="Times New Roman" w:hAnsi="Times New Roman"/>
        </w:rPr>
        <w:t xml:space="preserve"> </w:t>
      </w:r>
      <w:r w:rsidRPr="00707806">
        <w:rPr>
          <w:rFonts w:ascii="Times New Roman" w:hAnsi="Times New Roman"/>
        </w:rPr>
        <w:t xml:space="preserve">So any clients that are flagged as struggling or not coping, </w:t>
      </w:r>
      <w:r>
        <w:rPr>
          <w:rFonts w:ascii="Times New Roman" w:hAnsi="Times New Roman"/>
        </w:rPr>
        <w:t xml:space="preserve">[their case] </w:t>
      </w:r>
      <w:r w:rsidRPr="00707806">
        <w:rPr>
          <w:rFonts w:ascii="Times New Roman" w:hAnsi="Times New Roman"/>
        </w:rPr>
        <w:t xml:space="preserve">can be brought by anyone to that meeting, and then they're reviewed </w:t>
      </w:r>
      <w:r w:rsidRPr="00707806">
        <w:rPr>
          <w:rFonts w:ascii="Times New Roman" w:hAnsi="Times New Roman"/>
        </w:rPr>
        <w:lastRenderedPageBreak/>
        <w:t xml:space="preserve">and…strategies are put in place </w:t>
      </w:r>
      <w:r>
        <w:rPr>
          <w:rFonts w:ascii="Times New Roman" w:hAnsi="Times New Roman"/>
        </w:rPr>
        <w:t xml:space="preserve">[to] </w:t>
      </w:r>
      <w:r w:rsidRPr="00707806">
        <w:rPr>
          <w:rFonts w:ascii="Times New Roman" w:hAnsi="Times New Roman"/>
        </w:rPr>
        <w:t>support them.</w:t>
      </w:r>
      <w:r>
        <w:rPr>
          <w:rFonts w:ascii="Times New Roman" w:hAnsi="Times New Roman"/>
        </w:rPr>
        <w:t xml:space="preserve"> </w:t>
      </w:r>
      <w:r w:rsidRPr="00707806">
        <w:rPr>
          <w:rFonts w:ascii="Times New Roman" w:hAnsi="Times New Roman"/>
        </w:rPr>
        <w:t>They have started inviting the clients to that meeting too</w:t>
      </w:r>
      <w:r>
        <w:rPr>
          <w:rFonts w:ascii="Times New Roman" w:hAnsi="Times New Roman"/>
        </w:rPr>
        <w:t>.</w:t>
      </w:r>
      <w:r w:rsidRPr="00707806">
        <w:rPr>
          <w:rFonts w:ascii="Times New Roman" w:hAnsi="Times New Roman"/>
        </w:rPr>
        <w:t xml:space="preserve"> (B1)</w:t>
      </w:r>
    </w:p>
    <w:p w:rsidR="002F2633" w:rsidRPr="00707806" w:rsidRDefault="002F2633" w:rsidP="00375CD0">
      <w:pPr>
        <w:pStyle w:val="Quote"/>
        <w:rPr>
          <w:rFonts w:ascii="Times New Roman" w:hAnsi="Times New Roman"/>
        </w:rPr>
      </w:pPr>
      <w:r w:rsidRPr="00707806">
        <w:rPr>
          <w:rFonts w:ascii="Times New Roman" w:hAnsi="Times New Roman"/>
        </w:rPr>
        <w:t>…the relationship between the allied health and community nurses with the surgery, is very good…we've got that ability, even with the nurses down at the surgery</w:t>
      </w:r>
      <w:r>
        <w:rPr>
          <w:rFonts w:ascii="Times New Roman" w:hAnsi="Times New Roman"/>
        </w:rPr>
        <w:t>.</w:t>
      </w:r>
      <w:r w:rsidRPr="00707806">
        <w:rPr>
          <w:rFonts w:ascii="Times New Roman" w:hAnsi="Times New Roman"/>
        </w:rPr>
        <w:t xml:space="preserve"> (B2)</w:t>
      </w:r>
    </w:p>
    <w:p w:rsidR="002F2633" w:rsidRPr="00707806" w:rsidRDefault="002F2633" w:rsidP="00375CD0">
      <w:pPr>
        <w:rPr>
          <w:rFonts w:ascii="Times New Roman" w:hAnsi="Times New Roman" w:cs="Times New Roman"/>
        </w:rPr>
      </w:pPr>
      <w:r w:rsidRPr="00707806">
        <w:rPr>
          <w:rFonts w:ascii="Times New Roman" w:hAnsi="Times New Roman" w:cs="Times New Roman"/>
        </w:rPr>
        <w:t xml:space="preserve">Typically, rurally located services cover a wide territory to reach consumers who live outside town boundaries and on distant properties. For example, the Corryong service extends across a 70 km radius. Similarly, services are delivered from Tallangatta to towns up to 75 km away. These distances mean that round trips to deliver services may total 100km or more and that travel costs are added to the cost of delivering a consumer’s package. In one example, a manager reported that </w:t>
      </w:r>
      <w:r w:rsidRPr="00707806">
        <w:rPr>
          <w:rFonts w:ascii="Times New Roman" w:hAnsi="Times New Roman" w:cs="Times New Roman"/>
          <w:i/>
        </w:rPr>
        <w:t>a one hour</w:t>
      </w:r>
      <w:r>
        <w:rPr>
          <w:rFonts w:ascii="Times New Roman" w:hAnsi="Times New Roman" w:cs="Times New Roman"/>
          <w:i/>
        </w:rPr>
        <w:t>,</w:t>
      </w:r>
      <w:r w:rsidRPr="00707806">
        <w:rPr>
          <w:rFonts w:ascii="Times New Roman" w:hAnsi="Times New Roman" w:cs="Times New Roman"/>
          <w:i/>
        </w:rPr>
        <w:t xml:space="preserve"> $44 service became $204 for us</w:t>
      </w:r>
      <w:r w:rsidRPr="00707806">
        <w:rPr>
          <w:rFonts w:ascii="Times New Roman" w:hAnsi="Times New Roman" w:cs="Times New Roman"/>
        </w:rPr>
        <w:t xml:space="preserve"> (W1)</w:t>
      </w:r>
      <w:r w:rsidRPr="00707806">
        <w:rPr>
          <w:rFonts w:ascii="Times New Roman" w:hAnsi="Times New Roman" w:cs="Times New Roman"/>
          <w:i/>
        </w:rPr>
        <w:t xml:space="preserve">. </w:t>
      </w:r>
      <w:r w:rsidRPr="00707806">
        <w:rPr>
          <w:rFonts w:ascii="Times New Roman" w:hAnsi="Times New Roman" w:cs="Times New Roman"/>
        </w:rPr>
        <w:t>To contain costs, care delivery to outlying consumers is generally organised around the home towns of both consumers and care workers</w:t>
      </w:r>
      <w:r>
        <w:rPr>
          <w:rFonts w:ascii="Times New Roman" w:hAnsi="Times New Roman" w:cs="Times New Roman"/>
        </w:rPr>
        <w:t>.</w:t>
      </w:r>
    </w:p>
    <w:p w:rsidR="002F2633" w:rsidRPr="00707806" w:rsidRDefault="002F2633" w:rsidP="00375CD0">
      <w:pPr>
        <w:spacing w:line="259" w:lineRule="auto"/>
        <w:rPr>
          <w:rFonts w:ascii="Times New Roman" w:hAnsi="Times New Roman" w:cs="Times New Roman"/>
        </w:rPr>
      </w:pPr>
    </w:p>
    <w:p w:rsidR="002F2633" w:rsidRPr="005547C9" w:rsidRDefault="002F2633" w:rsidP="00375CD0">
      <w:pPr>
        <w:rPr>
          <w:rFonts w:ascii="Times New Roman" w:hAnsi="Times New Roman" w:cs="Times New Roman"/>
        </w:rPr>
      </w:pPr>
      <w:r w:rsidRPr="00707806">
        <w:rPr>
          <w:rFonts w:ascii="Times New Roman" w:hAnsi="Times New Roman" w:cs="Times New Roman"/>
        </w:rPr>
        <w:t>Transport and rural distance factors are significant in light of the lack of adjustable funding</w:t>
      </w:r>
      <w:r>
        <w:rPr>
          <w:rFonts w:ascii="Times New Roman" w:hAnsi="Times New Roman" w:cs="Times New Roman"/>
        </w:rPr>
        <w:t xml:space="preserve"> </w:t>
      </w:r>
      <w:r w:rsidRPr="00707806">
        <w:rPr>
          <w:rFonts w:ascii="Times New Roman" w:hAnsi="Times New Roman" w:cs="Times New Roman"/>
        </w:rPr>
        <w:t xml:space="preserve">to accommodate additional travel costs for rural older people within the CHSP or HCP packages. </w:t>
      </w:r>
      <w:r>
        <w:rPr>
          <w:rFonts w:ascii="Times New Roman" w:hAnsi="Times New Roman" w:cs="Times New Roman"/>
        </w:rPr>
        <w:t xml:space="preserve">Distance and transport costs impact on consumer’s access to and uptake of services. In the case of acute services consumer entitlement to funding is determined formulaically by kilometres per week: </w:t>
      </w:r>
      <w:r w:rsidRPr="00707806">
        <w:rPr>
          <w:rFonts w:ascii="Times New Roman" w:hAnsi="Times New Roman" w:cs="Times New Roman"/>
        </w:rPr>
        <w:t>Many participants</w:t>
      </w:r>
      <w:r>
        <w:rPr>
          <w:rFonts w:ascii="Times New Roman" w:hAnsi="Times New Roman" w:cs="Times New Roman"/>
        </w:rPr>
        <w:t xml:space="preserve"> also</w:t>
      </w:r>
      <w:r w:rsidRPr="00707806">
        <w:rPr>
          <w:rFonts w:ascii="Times New Roman" w:hAnsi="Times New Roman" w:cs="Times New Roman"/>
        </w:rPr>
        <w:t xml:space="preserve"> </w:t>
      </w:r>
      <w:r>
        <w:rPr>
          <w:rFonts w:ascii="Times New Roman" w:hAnsi="Times New Roman" w:cs="Times New Roman"/>
        </w:rPr>
        <w:t>reported that, despite minimal expectations of their care entitlement, they had been p</w:t>
      </w:r>
      <w:r w:rsidRPr="00707806">
        <w:rPr>
          <w:rFonts w:ascii="Times New Roman" w:hAnsi="Times New Roman" w:cs="Times New Roman"/>
        </w:rPr>
        <w:t>leasantly surprised with the breadth of options</w:t>
      </w:r>
      <w:r>
        <w:rPr>
          <w:rFonts w:ascii="Times New Roman" w:hAnsi="Times New Roman" w:cs="Times New Roman"/>
        </w:rPr>
        <w:t>,</w:t>
      </w:r>
      <w:r w:rsidRPr="00707806">
        <w:rPr>
          <w:rFonts w:ascii="Times New Roman" w:hAnsi="Times New Roman" w:cs="Times New Roman"/>
        </w:rPr>
        <w:t xml:space="preserve"> once on a plan. </w:t>
      </w:r>
      <w:r>
        <w:rPr>
          <w:rFonts w:ascii="Times New Roman" w:hAnsi="Times New Roman" w:cs="Times New Roman"/>
        </w:rPr>
        <w:t xml:space="preserve"> They reported satisfaction with the service delivered by their local provider, and in particular with the easy relationship that they were able to develop with managers and case managers, and regular direct care workers:</w:t>
      </w:r>
    </w:p>
    <w:p w:rsidR="002F2633" w:rsidRPr="00707806" w:rsidRDefault="002F2633" w:rsidP="00375CD0">
      <w:pPr>
        <w:pStyle w:val="Quote"/>
        <w:rPr>
          <w:rFonts w:ascii="Times New Roman" w:hAnsi="Times New Roman"/>
        </w:rPr>
      </w:pPr>
      <w:r>
        <w:rPr>
          <w:rFonts w:ascii="Times New Roman" w:hAnsi="Times New Roman"/>
        </w:rPr>
        <w:t>…</w:t>
      </w:r>
      <w:r w:rsidRPr="00707806">
        <w:rPr>
          <w:rFonts w:ascii="Times New Roman" w:hAnsi="Times New Roman"/>
        </w:rPr>
        <w:t>we've become quite friends with the people at Tallangatta, so when I ring up I'll say, hi, […] because they're local people, they know where we live and our situation. (4)</w:t>
      </w:r>
    </w:p>
    <w:p w:rsidR="002F2633" w:rsidRPr="00707806" w:rsidRDefault="002F2633" w:rsidP="00375CD0">
      <w:pPr>
        <w:pStyle w:val="Quote"/>
        <w:rPr>
          <w:rFonts w:ascii="Times New Roman" w:hAnsi="Times New Roman"/>
        </w:rPr>
      </w:pPr>
      <w:r w:rsidRPr="00707806">
        <w:rPr>
          <w:rFonts w:ascii="Times New Roman" w:hAnsi="Times New Roman"/>
        </w:rPr>
        <w:t>I've got to know them really well</w:t>
      </w:r>
      <w:r>
        <w:rPr>
          <w:rFonts w:ascii="Times New Roman" w:hAnsi="Times New Roman"/>
        </w:rPr>
        <w:t>..</w:t>
      </w:r>
      <w:r w:rsidRPr="00707806">
        <w:rPr>
          <w:rFonts w:ascii="Times New Roman" w:hAnsi="Times New Roman"/>
        </w:rPr>
        <w:t>.the woman who comes here regularly, she sits down and we have a cup of tea and we go through issues, just like my phone's not working properly</w:t>
      </w:r>
      <w:r>
        <w:rPr>
          <w:rFonts w:ascii="Times New Roman" w:hAnsi="Times New Roman"/>
        </w:rPr>
        <w:t>…s</w:t>
      </w:r>
      <w:r w:rsidRPr="00707806">
        <w:rPr>
          <w:rFonts w:ascii="Times New Roman" w:hAnsi="Times New Roman"/>
        </w:rPr>
        <w:t>he's been in the job for 11 years, so she's got a good understanding of how the organisation works</w:t>
      </w:r>
      <w:r>
        <w:rPr>
          <w:rFonts w:ascii="Times New Roman" w:hAnsi="Times New Roman"/>
        </w:rPr>
        <w:t>…</w:t>
      </w:r>
      <w:r w:rsidRPr="00707806">
        <w:rPr>
          <w:rFonts w:ascii="Times New Roman" w:hAnsi="Times New Roman"/>
        </w:rPr>
        <w:t>I could always call on her for any information for the future. She would also be watching</w:t>
      </w:r>
      <w:r>
        <w:rPr>
          <w:rFonts w:ascii="Times New Roman" w:hAnsi="Times New Roman"/>
        </w:rPr>
        <w:t>.</w:t>
      </w:r>
      <w:r w:rsidRPr="00707806">
        <w:rPr>
          <w:rFonts w:ascii="Times New Roman" w:hAnsi="Times New Roman"/>
        </w:rPr>
        <w:t xml:space="preserve"> (12)</w:t>
      </w:r>
    </w:p>
    <w:p w:rsidR="002F2633" w:rsidRDefault="002F2633" w:rsidP="00375CD0">
      <w:pPr>
        <w:rPr>
          <w:rFonts w:ascii="Times New Roman" w:hAnsi="Times New Roman" w:cs="Times New Roman"/>
        </w:rPr>
      </w:pPr>
      <w:r>
        <w:rPr>
          <w:rFonts w:ascii="Times New Roman" w:hAnsi="Times New Roman" w:cs="Times New Roman"/>
        </w:rPr>
        <w:lastRenderedPageBreak/>
        <w:t>The participants</w:t>
      </w:r>
      <w:r w:rsidRPr="00B00AD7">
        <w:rPr>
          <w:rFonts w:ascii="Times New Roman" w:hAnsi="Times New Roman" w:cs="Times New Roman"/>
        </w:rPr>
        <w:t xml:space="preserve"> linked </w:t>
      </w:r>
      <w:r>
        <w:rPr>
          <w:rFonts w:ascii="Times New Roman" w:hAnsi="Times New Roman" w:cs="Times New Roman"/>
        </w:rPr>
        <w:t xml:space="preserve">their regular care services with </w:t>
      </w:r>
      <w:r w:rsidRPr="00B00AD7">
        <w:rPr>
          <w:rFonts w:ascii="Times New Roman" w:hAnsi="Times New Roman" w:cs="Times New Roman"/>
        </w:rPr>
        <w:t>their ability to anticipate and plan for changing care needs</w:t>
      </w:r>
      <w:r>
        <w:rPr>
          <w:rFonts w:ascii="Times New Roman" w:hAnsi="Times New Roman" w:cs="Times New Roman"/>
        </w:rPr>
        <w:t xml:space="preserve"> and to anticipate being able to </w:t>
      </w:r>
      <w:r w:rsidRPr="00B00AD7">
        <w:rPr>
          <w:rFonts w:ascii="Times New Roman" w:hAnsi="Times New Roman" w:cs="Times New Roman"/>
        </w:rPr>
        <w:t xml:space="preserve">continue to live at home </w:t>
      </w:r>
      <w:r>
        <w:rPr>
          <w:rFonts w:ascii="Times New Roman" w:hAnsi="Times New Roman" w:cs="Times New Roman"/>
        </w:rPr>
        <w:t xml:space="preserve">even </w:t>
      </w:r>
      <w:r w:rsidRPr="00B00AD7">
        <w:rPr>
          <w:rFonts w:ascii="Times New Roman" w:hAnsi="Times New Roman" w:cs="Times New Roman"/>
        </w:rPr>
        <w:t>as their dependency increased</w:t>
      </w:r>
      <w:r>
        <w:rPr>
          <w:rFonts w:ascii="Times New Roman" w:hAnsi="Times New Roman" w:cs="Times New Roman"/>
        </w:rPr>
        <w:t xml:space="preserve">: </w:t>
      </w:r>
    </w:p>
    <w:p w:rsidR="002F2633" w:rsidRPr="00707806" w:rsidRDefault="002F2633" w:rsidP="00375CD0">
      <w:pPr>
        <w:pStyle w:val="Quote"/>
        <w:rPr>
          <w:rFonts w:ascii="Times New Roman" w:hAnsi="Times New Roman"/>
        </w:rPr>
      </w:pPr>
      <w:r w:rsidRPr="00707806">
        <w:rPr>
          <w:rFonts w:ascii="Times New Roman" w:hAnsi="Times New Roman"/>
        </w:rPr>
        <w:t>Because of my kidney condition</w:t>
      </w:r>
      <w:r>
        <w:rPr>
          <w:rFonts w:ascii="Times New Roman" w:hAnsi="Times New Roman"/>
        </w:rPr>
        <w:t>…</w:t>
      </w:r>
      <w:r w:rsidRPr="00707806">
        <w:rPr>
          <w:rFonts w:ascii="Times New Roman" w:hAnsi="Times New Roman"/>
        </w:rPr>
        <w:t>my health will deteriorate</w:t>
      </w:r>
      <w:r>
        <w:rPr>
          <w:rFonts w:ascii="Times New Roman" w:hAnsi="Times New Roman"/>
        </w:rPr>
        <w:t>…</w:t>
      </w:r>
      <w:r w:rsidRPr="00707806">
        <w:rPr>
          <w:rFonts w:ascii="Times New Roman" w:hAnsi="Times New Roman"/>
        </w:rPr>
        <w:t xml:space="preserve">it's good to have it all in place ready so that we can have </w:t>
      </w:r>
      <w:r>
        <w:rPr>
          <w:rFonts w:ascii="Times New Roman" w:hAnsi="Times New Roman"/>
        </w:rPr>
        <w:t>the</w:t>
      </w:r>
      <w:r w:rsidRPr="00707806">
        <w:rPr>
          <w:rFonts w:ascii="Times New Roman" w:hAnsi="Times New Roman"/>
        </w:rPr>
        <w:t xml:space="preserve"> services that we need. (4)</w:t>
      </w:r>
    </w:p>
    <w:p w:rsidR="002F2633" w:rsidRDefault="002F2633" w:rsidP="00375CD0">
      <w:pPr>
        <w:rPr>
          <w:rFonts w:ascii="Times New Roman" w:hAnsi="Times New Roman" w:cs="Times New Roman"/>
        </w:rPr>
      </w:pPr>
      <w:r>
        <w:rPr>
          <w:rFonts w:ascii="Times New Roman" w:hAnsi="Times New Roman" w:cs="Times New Roman"/>
        </w:rPr>
        <w:t xml:space="preserve">Our data indicates that local, rurally-based providers are well placed to support CDC and its realisation within the market environment. In particular, consumers who already receive care from local providers are advantaged by cooperative relationships in which funding and care decisions are made to achieve mutual goals. However, the sustainability of local services is in question given the circumstances of rural location, populations, and workforce availability. </w:t>
      </w:r>
    </w:p>
    <w:p w:rsidR="002F2633" w:rsidRPr="00E03B91" w:rsidRDefault="002F2633" w:rsidP="00375CD0">
      <w:pPr>
        <w:rPr>
          <w:rFonts w:ascii="Times New Roman" w:hAnsi="Times New Roman" w:cs="Times New Roman"/>
          <w:i/>
        </w:rPr>
      </w:pPr>
      <w:r>
        <w:rPr>
          <w:rFonts w:ascii="Times New Roman" w:hAnsi="Times New Roman" w:cs="Times New Roman"/>
        </w:rPr>
        <w:t xml:space="preserve"> </w:t>
      </w:r>
      <w:bookmarkStart w:id="1" w:name="_GoBack"/>
    </w:p>
    <w:p w:rsidR="002F2633" w:rsidRPr="00E03B91" w:rsidRDefault="002F2633" w:rsidP="00375CD0">
      <w:pPr>
        <w:rPr>
          <w:rFonts w:ascii="Times New Roman" w:hAnsi="Times New Roman" w:cs="Times New Roman"/>
          <w:i/>
        </w:rPr>
      </w:pPr>
      <w:r w:rsidRPr="00E03B91">
        <w:rPr>
          <w:rFonts w:ascii="Times New Roman" w:hAnsi="Times New Roman" w:cs="Times New Roman"/>
          <w:i/>
        </w:rPr>
        <w:t>Service Sustainability</w:t>
      </w:r>
    </w:p>
    <w:bookmarkEnd w:id="1"/>
    <w:p w:rsidR="002F2633" w:rsidRDefault="002F2633" w:rsidP="00375CD0">
      <w:pPr>
        <w:rPr>
          <w:rFonts w:ascii="Times New Roman" w:hAnsi="Times New Roman" w:cs="Times New Roman"/>
          <w:lang w:val="en-US"/>
        </w:rPr>
      </w:pPr>
      <w:r>
        <w:rPr>
          <w:rFonts w:ascii="Times New Roman" w:hAnsi="Times New Roman" w:cs="Times New Roman"/>
        </w:rPr>
        <w:t xml:space="preserve">Data obtained from the managers show that the majority of community-based services they deliver is via the CHPS program. This program provides for some 2,000 of their consumers who, on average, receive up to 1.5 hours service </w:t>
      </w:r>
      <w:r w:rsidRPr="000F2E84">
        <w:rPr>
          <w:rFonts w:ascii="Times New Roman" w:hAnsi="Times New Roman" w:cs="Times New Roman"/>
        </w:rPr>
        <w:t>per week</w:t>
      </w:r>
      <w:r>
        <w:rPr>
          <w:rFonts w:ascii="Times New Roman" w:hAnsi="Times New Roman" w:cs="Times New Roman"/>
        </w:rPr>
        <w:t xml:space="preserve">. </w:t>
      </w:r>
      <w:r w:rsidRPr="00707806">
        <w:rPr>
          <w:rFonts w:ascii="Times New Roman" w:hAnsi="Times New Roman" w:cs="Times New Roman"/>
        </w:rPr>
        <w:t xml:space="preserve">In stark contrast, the number of consumers </w:t>
      </w:r>
      <w:r w:rsidRPr="00707806">
        <w:rPr>
          <w:rFonts w:ascii="Times New Roman" w:hAnsi="Times New Roman" w:cs="Times New Roman"/>
          <w:lang w:val="en-US"/>
        </w:rPr>
        <w:t>on</w:t>
      </w:r>
      <w:r>
        <w:rPr>
          <w:rFonts w:ascii="Times New Roman" w:hAnsi="Times New Roman" w:cs="Times New Roman"/>
          <w:lang w:val="en-US"/>
        </w:rPr>
        <w:t xml:space="preserve"> higher level </w:t>
      </w:r>
      <w:r w:rsidRPr="00707806">
        <w:rPr>
          <w:rFonts w:ascii="Times New Roman" w:hAnsi="Times New Roman" w:cs="Times New Roman"/>
          <w:lang w:val="en-US"/>
        </w:rPr>
        <w:t>HCP packages totalled 159. Thus</w:t>
      </w:r>
      <w:r>
        <w:rPr>
          <w:rFonts w:ascii="Times New Roman" w:hAnsi="Times New Roman" w:cs="Times New Roman"/>
          <w:lang w:val="en-US"/>
        </w:rPr>
        <w:t>, at the time of study,</w:t>
      </w:r>
      <w:r w:rsidRPr="00707806">
        <w:rPr>
          <w:rFonts w:ascii="Times New Roman" w:hAnsi="Times New Roman" w:cs="Times New Roman"/>
          <w:lang w:val="en-US"/>
        </w:rPr>
        <w:t xml:space="preserve"> the vast majority of </w:t>
      </w:r>
      <w:r>
        <w:rPr>
          <w:rFonts w:ascii="Times New Roman" w:hAnsi="Times New Roman" w:cs="Times New Roman"/>
          <w:lang w:val="en-US"/>
        </w:rPr>
        <w:t>the providers’ community-based</w:t>
      </w:r>
      <w:r w:rsidRPr="00707806">
        <w:rPr>
          <w:rFonts w:ascii="Times New Roman" w:hAnsi="Times New Roman" w:cs="Times New Roman"/>
          <w:lang w:val="en-US"/>
        </w:rPr>
        <w:t xml:space="preserve"> consumers </w:t>
      </w:r>
      <w:r>
        <w:rPr>
          <w:rFonts w:ascii="Times New Roman" w:hAnsi="Times New Roman" w:cs="Times New Roman"/>
          <w:lang w:val="en-US"/>
        </w:rPr>
        <w:t>wer</w:t>
      </w:r>
      <w:r w:rsidRPr="00707806">
        <w:rPr>
          <w:rFonts w:ascii="Times New Roman" w:hAnsi="Times New Roman" w:cs="Times New Roman"/>
          <w:lang w:val="en-US"/>
        </w:rPr>
        <w:t xml:space="preserve">e receiving level entry services. </w:t>
      </w:r>
      <w:r>
        <w:rPr>
          <w:rFonts w:ascii="Times New Roman" w:hAnsi="Times New Roman" w:cs="Times New Roman"/>
          <w:lang w:val="en-US"/>
        </w:rPr>
        <w:t xml:space="preserve">This data is significant in the context of changing future circumstances. Demographic predictions concerning increasing aged populations in the areas under study imply that more services and higher levels of care will be required: growth of this cohort across the rural areas under study is project to occur at rates between 22 and 30%. </w:t>
      </w:r>
    </w:p>
    <w:p w:rsidR="002F2633" w:rsidRDefault="002F2633" w:rsidP="00375CD0">
      <w:pPr>
        <w:rPr>
          <w:rFonts w:ascii="Times New Roman" w:hAnsi="Times New Roman" w:cs="Times New Roman"/>
          <w:lang w:val="en-US"/>
        </w:rPr>
      </w:pPr>
    </w:p>
    <w:p w:rsidR="002F2633" w:rsidRDefault="002F2633" w:rsidP="00375CD0">
      <w:pPr>
        <w:rPr>
          <w:rFonts w:ascii="Times New Roman" w:hAnsi="Times New Roman" w:cs="Times New Roman"/>
          <w:lang w:val="en-US"/>
        </w:rPr>
      </w:pPr>
      <w:r>
        <w:rPr>
          <w:rFonts w:ascii="Times New Roman" w:hAnsi="Times New Roman" w:cs="Times New Roman"/>
          <w:lang w:val="en-US"/>
        </w:rPr>
        <w:t>This may be considered good news for providers operating within the marketised model – higher demands may be linked to viability. However, the growing demand for service will occur along with a predicted decline in available direct-care workers. Our data shows that the current workforce is predominantly female and on average, workers are aged 50.5 years. Given the imminent retirement of many of these workers and the small workforce pools relative to metropolitan areas, the managers are facing critical recruitment and retention challenges. In particular, recruitment of younger workers is hampered by the negative image of aged care work, the low pay rates and the insecure hours of work:</w:t>
      </w:r>
    </w:p>
    <w:p w:rsidR="002F2633" w:rsidRDefault="002F2633" w:rsidP="00375CD0">
      <w:pPr>
        <w:rPr>
          <w:rFonts w:ascii="Times New Roman" w:hAnsi="Times New Roman" w:cs="Times New Roman"/>
          <w:lang w:val="en-US"/>
        </w:rPr>
      </w:pPr>
    </w:p>
    <w:p w:rsidR="002F2633" w:rsidRDefault="002F2633" w:rsidP="00375CD0">
      <w:pPr>
        <w:tabs>
          <w:tab w:val="left" w:pos="1980"/>
        </w:tabs>
        <w:ind w:left="851" w:right="1088"/>
        <w:rPr>
          <w:rFonts w:ascii="Times New Roman" w:hAnsi="Times New Roman" w:cs="Times New Roman"/>
          <w:i/>
        </w:rPr>
      </w:pPr>
      <w:r>
        <w:rPr>
          <w:rFonts w:ascii="Times New Roman" w:hAnsi="Times New Roman" w:cs="Times New Roman"/>
          <w:i/>
        </w:rPr>
        <w:t xml:space="preserve">[we can only offer] insecure and random working hours…shifts are based on clients. Our staff have regular clients most of the time, but it only takes </w:t>
      </w:r>
      <w:r>
        <w:rPr>
          <w:rFonts w:ascii="Times New Roman" w:hAnsi="Times New Roman" w:cs="Times New Roman"/>
          <w:i/>
        </w:rPr>
        <w:lastRenderedPageBreak/>
        <w:t>one, two or three of those clients to be in hospital, to be sick, to be away…then they won't do as many clients. It’s not too hard for me to give most of them 20 hours a fortnight but giving them 40…or 80 is impossible…there’s no way I can afford to pay them more than $22.70 an hour, even if I wanted to…(A)</w:t>
      </w:r>
    </w:p>
    <w:p w:rsidR="002F2633" w:rsidRDefault="002F2633" w:rsidP="00375CD0">
      <w:pPr>
        <w:rPr>
          <w:rFonts w:ascii="Times New Roman" w:hAnsi="Times New Roman" w:cs="Times New Roman"/>
        </w:rPr>
      </w:pPr>
    </w:p>
    <w:p w:rsidR="002F2633" w:rsidRDefault="002F2633" w:rsidP="00375CD0">
      <w:pPr>
        <w:rPr>
          <w:rFonts w:ascii="Times New Roman" w:hAnsi="Times New Roman" w:cs="Times New Roman"/>
        </w:rPr>
      </w:pPr>
      <w:r>
        <w:rPr>
          <w:rFonts w:ascii="Times New Roman" w:hAnsi="Times New Roman" w:cs="Times New Roman"/>
        </w:rPr>
        <w:t xml:space="preserve">Other barriers include the difficulty inherent in attracting newly graduated and younger workers to a role more usually associated with mature and middle-aged women. The managers noted their need for a cross-section of age, experience and aptitudes to meet consumers’ needs: </w:t>
      </w:r>
    </w:p>
    <w:p w:rsidR="002F2633" w:rsidRDefault="002F2633" w:rsidP="00375CD0">
      <w:pPr>
        <w:tabs>
          <w:tab w:val="left" w:pos="1980"/>
        </w:tabs>
        <w:ind w:left="851" w:right="1088"/>
        <w:rPr>
          <w:rFonts w:ascii="Times New Roman" w:hAnsi="Times New Roman" w:cs="Times New Roman"/>
        </w:rPr>
      </w:pPr>
      <w:r>
        <w:rPr>
          <w:rFonts w:ascii="Times New Roman" w:hAnsi="Times New Roman" w:cs="Times New Roman"/>
          <w:i/>
        </w:rPr>
        <w:t>... with the younger worker…they've got the enthusiasm. They're physically able. They've got the fresh eyes. But sometimes they don't have some of the life experiences…of the… older workers -that can be anything from 40, 50, 60 - who can deal with situations that are thrown at them. Some [younger workers] can adapt really quickly, and others just might be thrown a whammy by it.</w:t>
      </w:r>
      <w:r>
        <w:rPr>
          <w:rFonts w:ascii="Times New Roman" w:hAnsi="Times New Roman" w:cs="Times New Roman"/>
        </w:rPr>
        <w:t xml:space="preserve"> (C1)</w:t>
      </w:r>
    </w:p>
    <w:p w:rsidR="002F2633" w:rsidRDefault="002F2633" w:rsidP="00375CD0">
      <w:pPr>
        <w:tabs>
          <w:tab w:val="left" w:pos="1980"/>
        </w:tabs>
        <w:ind w:left="851" w:right="1088"/>
        <w:rPr>
          <w:rFonts w:ascii="Times New Roman" w:hAnsi="Times New Roman" w:cs="Times New Roman"/>
        </w:rPr>
      </w:pPr>
    </w:p>
    <w:p w:rsidR="002F2633" w:rsidRDefault="002F2633" w:rsidP="00375CD0">
      <w:pPr>
        <w:tabs>
          <w:tab w:val="left" w:pos="0"/>
        </w:tabs>
        <w:rPr>
          <w:rFonts w:ascii="Times New Roman" w:hAnsi="Times New Roman" w:cs="Times New Roman"/>
        </w:rPr>
      </w:pPr>
      <w:r>
        <w:rPr>
          <w:rFonts w:ascii="Times New Roman" w:hAnsi="Times New Roman" w:cs="Times New Roman"/>
        </w:rPr>
        <w:t xml:space="preserve">The managers linked the retention of newly graduated workers to their preparedness for the role and capacity to adapt to working solo in consumers’ homes. </w:t>
      </w:r>
    </w:p>
    <w:p w:rsidR="002F2633" w:rsidRDefault="002F2633" w:rsidP="00375CD0">
      <w:pPr>
        <w:tabs>
          <w:tab w:val="left" w:pos="1980"/>
        </w:tabs>
        <w:ind w:left="851" w:right="1088"/>
        <w:rPr>
          <w:rFonts w:ascii="Times New Roman" w:hAnsi="Times New Roman" w:cs="Times New Roman"/>
        </w:rPr>
      </w:pPr>
      <w:r>
        <w:rPr>
          <w:rFonts w:ascii="Times New Roman" w:hAnsi="Times New Roman" w:cs="Times New Roman"/>
          <w:i/>
        </w:rPr>
        <w:t xml:space="preserve">…in the last three months we’ve had four staff that we have put through induction and training, kitted them out with uniforms,and then they’ve gone out one day on the job and said ‘no, I’m sorry, I can’t do this’. </w:t>
      </w:r>
      <w:r>
        <w:rPr>
          <w:rFonts w:ascii="Times New Roman" w:hAnsi="Times New Roman" w:cs="Times New Roman"/>
        </w:rPr>
        <w:t>(W1)</w:t>
      </w:r>
    </w:p>
    <w:p w:rsidR="002F2633" w:rsidRDefault="002F2633" w:rsidP="00375CD0">
      <w:pPr>
        <w:rPr>
          <w:rFonts w:ascii="Times New Roman" w:hAnsi="Times New Roman" w:cs="Times New Roman"/>
        </w:rPr>
      </w:pPr>
    </w:p>
    <w:p w:rsidR="002F2633" w:rsidRDefault="002F2633" w:rsidP="00375CD0">
      <w:pPr>
        <w:rPr>
          <w:rFonts w:ascii="Times New Roman" w:hAnsi="Times New Roman" w:cs="Times New Roman"/>
        </w:rPr>
      </w:pPr>
      <w:r>
        <w:rPr>
          <w:rFonts w:ascii="Times New Roman" w:hAnsi="Times New Roman" w:cs="Times New Roman"/>
        </w:rPr>
        <w:t>Community care work presents immediate challenges for new workers. Although they are usually ‘buddied’ with experienced workers for their first few shifts, thereafter they are rostered to work solo. Disappointment may ensue when new graduates anticipate a more clinical role. Although many consumers are quite frail and in need of personal care, observation and monitoring, the regular work is described as consisting of mostly domestic duties:</w:t>
      </w:r>
    </w:p>
    <w:p w:rsidR="002F2633" w:rsidRDefault="002F2633" w:rsidP="00375CD0">
      <w:pPr>
        <w:rPr>
          <w:rFonts w:ascii="Times New Roman" w:hAnsi="Times New Roman" w:cs="Times New Roman"/>
        </w:rPr>
      </w:pPr>
    </w:p>
    <w:p w:rsidR="002F2633" w:rsidRDefault="002F2633" w:rsidP="00375CD0">
      <w:pPr>
        <w:tabs>
          <w:tab w:val="left" w:pos="1980"/>
        </w:tabs>
        <w:ind w:left="851" w:right="1088"/>
        <w:rPr>
          <w:rFonts w:ascii="Times New Roman" w:hAnsi="Times New Roman" w:cs="Times New Roman"/>
          <w:i/>
        </w:rPr>
      </w:pPr>
      <w:r>
        <w:rPr>
          <w:rFonts w:ascii="Times New Roman" w:hAnsi="Times New Roman" w:cs="Times New Roman"/>
          <w:i/>
        </w:rPr>
        <w:t>…domestic assistance – shopping, meal prep, respite and some personal care thrown in. (W2)</w:t>
      </w:r>
    </w:p>
    <w:p w:rsidR="002F2633" w:rsidRDefault="002F2633" w:rsidP="00375CD0">
      <w:pPr>
        <w:tabs>
          <w:tab w:val="left" w:pos="1980"/>
        </w:tabs>
        <w:ind w:left="851" w:right="1088"/>
        <w:rPr>
          <w:rFonts w:ascii="Times New Roman" w:hAnsi="Times New Roman" w:cs="Times New Roman"/>
          <w:i/>
        </w:rPr>
      </w:pPr>
      <w:r>
        <w:rPr>
          <w:rFonts w:ascii="Times New Roman" w:hAnsi="Times New Roman" w:cs="Times New Roman"/>
          <w:i/>
        </w:rPr>
        <w:t xml:space="preserve"> </w:t>
      </w:r>
    </w:p>
    <w:p w:rsidR="002F2633" w:rsidRDefault="002F2633" w:rsidP="00375CD0">
      <w:pPr>
        <w:rPr>
          <w:rFonts w:ascii="Times New Roman" w:hAnsi="Times New Roman" w:cs="Times New Roman"/>
          <w:i/>
        </w:rPr>
      </w:pPr>
      <w:r>
        <w:rPr>
          <w:rFonts w:ascii="Times New Roman" w:hAnsi="Times New Roman" w:cs="Times New Roman"/>
        </w:rPr>
        <w:t xml:space="preserve">New workers may be daunted, even deterred, by the domestic environments that constitute their workplaces. Here, they may encounter cluttering, hoarding, carer stress, family tensions and abuse along with the consumer’s decline, poor hygiene, loneliness and despair. Workers </w:t>
      </w:r>
      <w:r>
        <w:rPr>
          <w:rFonts w:ascii="Times New Roman" w:hAnsi="Times New Roman" w:cs="Times New Roman"/>
        </w:rPr>
        <w:lastRenderedPageBreak/>
        <w:t>may need support in the form of ongoing training as they learn how to manage and cope with the kinds of tasks they perform and the interpersonal challenges that accompany these:</w:t>
      </w:r>
    </w:p>
    <w:p w:rsidR="002F2633" w:rsidRDefault="002F2633" w:rsidP="00375CD0">
      <w:pPr>
        <w:rPr>
          <w:rFonts w:ascii="Times New Roman" w:hAnsi="Times New Roman" w:cs="Times New Roman"/>
        </w:rPr>
      </w:pPr>
    </w:p>
    <w:p w:rsidR="002F2633" w:rsidRDefault="002F2633" w:rsidP="00375CD0">
      <w:pPr>
        <w:tabs>
          <w:tab w:val="left" w:pos="1980"/>
        </w:tabs>
        <w:ind w:left="851" w:right="1088"/>
        <w:rPr>
          <w:rFonts w:ascii="Times New Roman" w:hAnsi="Times New Roman" w:cs="Times New Roman"/>
          <w:i/>
        </w:rPr>
      </w:pPr>
      <w:r>
        <w:rPr>
          <w:rFonts w:ascii="Times New Roman" w:hAnsi="Times New Roman" w:cs="Times New Roman"/>
          <w:i/>
        </w:rPr>
        <w:t>Workers need support to…to develop interpersonal skills to build a rapport with people who might not come from the same social background as they do. (W2)</w:t>
      </w:r>
    </w:p>
    <w:p w:rsidR="002F2633" w:rsidRDefault="002F2633" w:rsidP="00375CD0">
      <w:pPr>
        <w:rPr>
          <w:rFonts w:ascii="Times New Roman" w:hAnsi="Times New Roman" w:cs="Times New Roman"/>
        </w:rPr>
      </w:pPr>
    </w:p>
    <w:p w:rsidR="002F2633" w:rsidRDefault="002F2633" w:rsidP="00375CD0">
      <w:pPr>
        <w:tabs>
          <w:tab w:val="left" w:pos="1980"/>
        </w:tabs>
        <w:ind w:left="851" w:right="1088"/>
        <w:rPr>
          <w:rFonts w:ascii="Times New Roman" w:hAnsi="Times New Roman" w:cs="Times New Roman"/>
        </w:rPr>
      </w:pPr>
      <w:r>
        <w:rPr>
          <w:rFonts w:ascii="Times New Roman" w:hAnsi="Times New Roman" w:cs="Times New Roman"/>
          <w:i/>
        </w:rPr>
        <w:t xml:space="preserve">It can be a bit of a shock to…go into someone’s home and assist them to shower and deal with their bedding…the bathroom and toilet that hasn’t been cleaned for a week or two…it’s pretty yucky work really </w:t>
      </w:r>
      <w:r>
        <w:rPr>
          <w:rFonts w:ascii="Times New Roman" w:hAnsi="Times New Roman" w:cs="Times New Roman"/>
        </w:rPr>
        <w:t>(W1)</w:t>
      </w:r>
    </w:p>
    <w:p w:rsidR="002F2633" w:rsidRDefault="002F2633" w:rsidP="00375CD0">
      <w:pPr>
        <w:rPr>
          <w:rFonts w:ascii="Times New Roman" w:hAnsi="Times New Roman" w:cs="Times New Roman"/>
        </w:rPr>
      </w:pPr>
    </w:p>
    <w:p w:rsidR="002F2633" w:rsidRDefault="002F2633" w:rsidP="00375CD0">
      <w:pPr>
        <w:rPr>
          <w:rFonts w:ascii="Times New Roman" w:hAnsi="Times New Roman" w:cs="Times New Roman"/>
        </w:rPr>
      </w:pPr>
      <w:r>
        <w:rPr>
          <w:rFonts w:ascii="Times New Roman" w:hAnsi="Times New Roman" w:cs="Times New Roman"/>
        </w:rPr>
        <w:t>Currently, the Services enjoy relative workforce adequacy and stability. The managers’ descriptions suggest that once newly employed workers ‘survive’ the initial challenges, they are likely to stay on. It also suggests that support in terms of mentoring, assisted skill acquisition and consolidation is essential if workers new to the field are to be retained. As more consumers receive funding for higher levels of care, the skill base of the available workforce becomes significant. While the current dimensions of direct care work involve mostly</w:t>
      </w:r>
      <w:r w:rsidRPr="00E315A6">
        <w:rPr>
          <w:rFonts w:ascii="Times New Roman" w:hAnsi="Times New Roman" w:cs="Times New Roman"/>
        </w:rPr>
        <w:t xml:space="preserve"> domestic assistance</w:t>
      </w:r>
      <w:r>
        <w:rPr>
          <w:rFonts w:ascii="Times New Roman" w:hAnsi="Times New Roman" w:cs="Times New Roman"/>
        </w:rPr>
        <w:t xml:space="preserve">, </w:t>
      </w:r>
      <w:r w:rsidRPr="00E315A6">
        <w:rPr>
          <w:rFonts w:ascii="Times New Roman" w:hAnsi="Times New Roman" w:cs="Times New Roman"/>
        </w:rPr>
        <w:t xml:space="preserve">shopping, </w:t>
      </w:r>
      <w:r>
        <w:rPr>
          <w:rFonts w:ascii="Times New Roman" w:hAnsi="Times New Roman" w:cs="Times New Roman"/>
        </w:rPr>
        <w:t>res</w:t>
      </w:r>
      <w:r w:rsidRPr="00E315A6">
        <w:rPr>
          <w:rFonts w:ascii="Times New Roman" w:hAnsi="Times New Roman" w:cs="Times New Roman"/>
        </w:rPr>
        <w:t xml:space="preserve">pite </w:t>
      </w:r>
      <w:r>
        <w:rPr>
          <w:rFonts w:ascii="Times New Roman" w:hAnsi="Times New Roman" w:cs="Times New Roman"/>
        </w:rPr>
        <w:t>a</w:t>
      </w:r>
      <w:r w:rsidRPr="00E315A6">
        <w:rPr>
          <w:rFonts w:ascii="Times New Roman" w:hAnsi="Times New Roman" w:cs="Times New Roman"/>
        </w:rPr>
        <w:t>nd personal care</w:t>
      </w:r>
      <w:r>
        <w:rPr>
          <w:rFonts w:ascii="Times New Roman" w:hAnsi="Times New Roman" w:cs="Times New Roman"/>
        </w:rPr>
        <w:t xml:space="preserve">, the scope of practice for these workers will need to expand; it is well noted that future cohorts of community-based consumers will require direct care and observation relative to conditions such as dementia and chronic diseases. </w:t>
      </w:r>
    </w:p>
    <w:p w:rsidR="002F2633" w:rsidRDefault="002F2633" w:rsidP="00375CD0">
      <w:pPr>
        <w:rPr>
          <w:rFonts w:ascii="Times New Roman" w:hAnsi="Times New Roman" w:cs="Times New Roman"/>
        </w:rPr>
      </w:pPr>
      <w:r>
        <w:rPr>
          <w:rFonts w:ascii="Times New Roman" w:hAnsi="Times New Roman" w:cs="Times New Roman"/>
        </w:rPr>
        <w:t xml:space="preserve"> </w:t>
      </w:r>
    </w:p>
    <w:p w:rsidR="002F2633" w:rsidRDefault="002F2633" w:rsidP="00375CD0">
      <w:pPr>
        <w:rPr>
          <w:rFonts w:ascii="Times New Roman" w:hAnsi="Times New Roman" w:cs="Times New Roman"/>
        </w:rPr>
      </w:pPr>
      <w:r>
        <w:rPr>
          <w:rFonts w:ascii="Times New Roman" w:hAnsi="Times New Roman" w:cs="Times New Roman"/>
        </w:rPr>
        <w:t>Regional opportunities for training are adequate at present. Entry level skills for the role are taught within locally provided vocational education courses such as the Certificate III (Individual Support). The managers reported that they enjoyed an effective relationship with training providers based in the nearest regional centre:</w:t>
      </w:r>
    </w:p>
    <w:p w:rsidR="002F2633" w:rsidRDefault="002F2633" w:rsidP="00375CD0">
      <w:pPr>
        <w:rPr>
          <w:rFonts w:ascii="Times New Roman" w:hAnsi="Times New Roman" w:cs="Times New Roman"/>
        </w:rPr>
      </w:pPr>
    </w:p>
    <w:p w:rsidR="002F2633" w:rsidRDefault="002F2633" w:rsidP="00375CD0">
      <w:pPr>
        <w:tabs>
          <w:tab w:val="left" w:pos="1980"/>
        </w:tabs>
        <w:ind w:left="851" w:right="1088"/>
        <w:rPr>
          <w:rFonts w:ascii="Times New Roman" w:hAnsi="Times New Roman" w:cs="Times New Roman"/>
          <w:i/>
        </w:rPr>
      </w:pPr>
      <w:r>
        <w:rPr>
          <w:rFonts w:ascii="Times New Roman" w:hAnsi="Times New Roman" w:cs="Times New Roman"/>
          <w:i/>
        </w:rPr>
        <w:t>We work with them quite closely…we will speak to them directly if we think something is being missed (T).</w:t>
      </w:r>
    </w:p>
    <w:p w:rsidR="002F2633" w:rsidRDefault="002F2633" w:rsidP="00375CD0">
      <w:pPr>
        <w:tabs>
          <w:tab w:val="left" w:pos="1980"/>
        </w:tabs>
        <w:rPr>
          <w:rFonts w:ascii="Times New Roman" w:hAnsi="Times New Roman" w:cs="Times New Roman"/>
        </w:rPr>
      </w:pPr>
    </w:p>
    <w:p w:rsidR="002F2633" w:rsidRDefault="002F2633" w:rsidP="00A4740B">
      <w:pPr>
        <w:tabs>
          <w:tab w:val="left" w:pos="1980"/>
        </w:tabs>
        <w:rPr>
          <w:rFonts w:ascii="Times New Roman" w:hAnsi="Times New Roman" w:cs="Times New Roman"/>
        </w:rPr>
      </w:pPr>
      <w:r>
        <w:rPr>
          <w:rFonts w:ascii="Times New Roman" w:hAnsi="Times New Roman" w:cs="Times New Roman"/>
        </w:rPr>
        <w:t>Two of the more remotely situated managers have addressed training needs by providing courses at their own Service. The more distant Service has designed and runs its own approved training course. Such innovations maximise local recruitment potential, provide local employment and further the achievement of care goals through a sense of community care for community elders.</w:t>
      </w:r>
    </w:p>
    <w:p w:rsidR="002F2633" w:rsidRPr="005547C9" w:rsidRDefault="002F2633" w:rsidP="005547C9">
      <w:pPr>
        <w:spacing w:after="160" w:line="259" w:lineRule="auto"/>
        <w:jc w:val="left"/>
        <w:rPr>
          <w:rFonts w:ascii="Times New Roman" w:hAnsi="Times New Roman" w:cs="Times New Roman"/>
        </w:rPr>
      </w:pPr>
      <w:r w:rsidRPr="00AF6F6A">
        <w:rPr>
          <w:rFonts w:ascii="Times New Roman" w:hAnsi="Times New Roman" w:cs="Times New Roman"/>
          <w:b/>
        </w:rPr>
        <w:lastRenderedPageBreak/>
        <w:t>Discussion</w:t>
      </w:r>
    </w:p>
    <w:p w:rsidR="002F2633" w:rsidRDefault="002F2633" w:rsidP="00C203AC">
      <w:pPr>
        <w:rPr>
          <w:rFonts w:ascii="Times New Roman" w:hAnsi="Times New Roman" w:cs="Times New Roman"/>
        </w:rPr>
      </w:pPr>
      <w:r>
        <w:rPr>
          <w:rFonts w:ascii="Times New Roman" w:hAnsi="Times New Roman" w:cs="Times New Roman"/>
        </w:rPr>
        <w:t>The findings offer perspectives from two rurally based groups – consumers and service managers – who are key participants in the marketised environment of community aged care. Their experiences and views provide insights into the implications of this sector’s new directions within a defined rural area of Australia. The findings are limited by the relatively small number of consumers who participated in the study. Still, the findings are significant in terms of timeliness given:</w:t>
      </w:r>
    </w:p>
    <w:p w:rsidR="002F2633" w:rsidRDefault="002F2633" w:rsidP="002F2633">
      <w:pPr>
        <w:pStyle w:val="ListParagraph"/>
        <w:numPr>
          <w:ilvl w:val="0"/>
          <w:numId w:val="20"/>
        </w:numPr>
        <w:rPr>
          <w:rFonts w:ascii="Times New Roman" w:hAnsi="Times New Roman" w:cs="Times New Roman"/>
        </w:rPr>
      </w:pPr>
      <w:r>
        <w:rPr>
          <w:rFonts w:ascii="Times New Roman" w:hAnsi="Times New Roman" w:cs="Times New Roman"/>
        </w:rPr>
        <w:t>Mounting public concern in Australia about the standards of aged care across the sectors and the subsequent, current conduct of a Royal Commission into Aged Care;</w:t>
      </w:r>
    </w:p>
    <w:p w:rsidR="002F2633" w:rsidRDefault="002F2633" w:rsidP="002F2633">
      <w:pPr>
        <w:pStyle w:val="ListParagraph"/>
        <w:numPr>
          <w:ilvl w:val="0"/>
          <w:numId w:val="20"/>
        </w:numPr>
        <w:rPr>
          <w:rFonts w:ascii="Times New Roman" w:hAnsi="Times New Roman" w:cs="Times New Roman"/>
        </w:rPr>
      </w:pPr>
      <w:r>
        <w:rPr>
          <w:rFonts w:ascii="Times New Roman" w:hAnsi="Times New Roman" w:cs="Times New Roman"/>
        </w:rPr>
        <w:t>The growing demand for community-based aged care services;</w:t>
      </w:r>
    </w:p>
    <w:p w:rsidR="002F2633" w:rsidRDefault="002F2633" w:rsidP="002F2633">
      <w:pPr>
        <w:pStyle w:val="ListParagraph"/>
        <w:numPr>
          <w:ilvl w:val="0"/>
          <w:numId w:val="20"/>
        </w:numPr>
        <w:rPr>
          <w:rFonts w:ascii="Times New Roman" w:hAnsi="Times New Roman" w:cs="Times New Roman"/>
        </w:rPr>
      </w:pPr>
      <w:r>
        <w:rPr>
          <w:rFonts w:ascii="Times New Roman" w:hAnsi="Times New Roman" w:cs="Times New Roman"/>
        </w:rPr>
        <w:t>The lack of research into community aged care services within particular and rural localities; and</w:t>
      </w:r>
    </w:p>
    <w:p w:rsidR="002F2633" w:rsidRDefault="002F2633" w:rsidP="002F2633">
      <w:pPr>
        <w:pStyle w:val="ListParagraph"/>
        <w:numPr>
          <w:ilvl w:val="0"/>
          <w:numId w:val="20"/>
        </w:numPr>
        <w:rPr>
          <w:rFonts w:ascii="Times New Roman" w:hAnsi="Times New Roman" w:cs="Times New Roman"/>
        </w:rPr>
      </w:pPr>
      <w:r>
        <w:rPr>
          <w:rFonts w:ascii="Times New Roman" w:hAnsi="Times New Roman" w:cs="Times New Roman"/>
        </w:rPr>
        <w:t>The need for research into the impact of neo-liberal policies that have located community aged care within a marketised environment.</w:t>
      </w:r>
    </w:p>
    <w:p w:rsidR="002F2633" w:rsidRPr="00614D24" w:rsidRDefault="002F2633" w:rsidP="00C203AC">
      <w:pPr>
        <w:rPr>
          <w:rFonts w:ascii="Times New Roman" w:hAnsi="Times New Roman" w:cs="Times New Roman"/>
        </w:rPr>
      </w:pPr>
      <w:r>
        <w:rPr>
          <w:rFonts w:ascii="Times New Roman" w:hAnsi="Times New Roman" w:cs="Times New Roman"/>
        </w:rPr>
        <w:t xml:space="preserve">In Australia, public awareness of aged care services and the need for measures to ensure service adequacy and quality, has been heightened by recent, scandalous media reports and the current investigations undertaken within the Royal Commission into Aged Care. The issues raised imply failure to ensure appropriate levels of staffing and care, particularly within residential care settings. Concerns regarding the outcomes of community aged care arrangements as these relate to access to services, competition and consumer directed care have equally been expressed </w:t>
      </w:r>
      <w:r>
        <w:rPr>
          <w:rFonts w:ascii="Times New Roman" w:hAnsi="Times New Roman" w:cs="Times New Roman"/>
          <w:noProof/>
        </w:rPr>
        <w:t>(Jorgensen and Haddock, 2018)</w:t>
      </w:r>
      <w:r>
        <w:rPr>
          <w:rFonts w:ascii="Times New Roman" w:hAnsi="Times New Roman" w:cs="Times New Roman"/>
        </w:rPr>
        <w:t>. Studies and discussion papers to date focus on community aged care service provision in remote parts of Australia and on consumers with special needs such as</w:t>
      </w:r>
      <w:r w:rsidRPr="00614D24">
        <w:rPr>
          <w:rFonts w:ascii="Times New Roman" w:hAnsi="Times New Roman" w:cs="Times New Roman"/>
        </w:rPr>
        <w:t xml:space="preserve"> indigenous groups and members of </w:t>
      </w:r>
      <w:r>
        <w:rPr>
          <w:rFonts w:ascii="Times New Roman" w:hAnsi="Times New Roman" w:cs="Times New Roman"/>
        </w:rPr>
        <w:t xml:space="preserve">the LGBTI community </w:t>
      </w:r>
      <w:r>
        <w:rPr>
          <w:rFonts w:ascii="Times New Roman" w:hAnsi="Times New Roman" w:cs="Times New Roman"/>
          <w:noProof/>
        </w:rPr>
        <w:t>(Jorgensen and Haddock, 2018)</w:t>
      </w:r>
      <w:r>
        <w:rPr>
          <w:rFonts w:ascii="Times New Roman" w:hAnsi="Times New Roman" w:cs="Times New Roman"/>
        </w:rPr>
        <w:t>.</w:t>
      </w:r>
      <w:r w:rsidRPr="00614D24">
        <w:rPr>
          <w:rFonts w:ascii="Times New Roman" w:hAnsi="Times New Roman" w:cs="Times New Roman"/>
        </w:rPr>
        <w:t xml:space="preserve"> </w:t>
      </w:r>
      <w:r>
        <w:rPr>
          <w:rFonts w:ascii="Times New Roman" w:hAnsi="Times New Roman" w:cs="Times New Roman"/>
        </w:rPr>
        <w:t xml:space="preserve">Our findings highlight the need for a similar focus on rurally-based providers and consumers. </w:t>
      </w:r>
    </w:p>
    <w:p w:rsidR="002F2633" w:rsidRDefault="002F2633" w:rsidP="00C203AC">
      <w:pPr>
        <w:rPr>
          <w:rFonts w:ascii="Times New Roman" w:hAnsi="Times New Roman" w:cs="Times New Roman"/>
        </w:rPr>
      </w:pPr>
    </w:p>
    <w:p w:rsidR="002F2633" w:rsidRDefault="002F2633" w:rsidP="00FF7EC2">
      <w:pPr>
        <w:rPr>
          <w:rFonts w:ascii="Times New Roman" w:hAnsi="Times New Roman" w:cs="Times New Roman"/>
        </w:rPr>
      </w:pPr>
      <w:r>
        <w:rPr>
          <w:rFonts w:ascii="Times New Roman" w:hAnsi="Times New Roman" w:cs="Times New Roman"/>
        </w:rPr>
        <w:t>T</w:t>
      </w:r>
      <w:r w:rsidRPr="00C203AC">
        <w:rPr>
          <w:rFonts w:ascii="Times New Roman" w:hAnsi="Times New Roman" w:cs="Times New Roman"/>
        </w:rPr>
        <w:t xml:space="preserve">he </w:t>
      </w:r>
      <w:r>
        <w:rPr>
          <w:rFonts w:ascii="Times New Roman" w:hAnsi="Times New Roman" w:cs="Times New Roman"/>
        </w:rPr>
        <w:t>shift to a</w:t>
      </w:r>
      <w:r w:rsidRPr="00C203AC">
        <w:rPr>
          <w:rFonts w:ascii="Times New Roman" w:hAnsi="Times New Roman" w:cs="Times New Roman"/>
        </w:rPr>
        <w:t xml:space="preserve"> marketi</w:t>
      </w:r>
      <w:r>
        <w:rPr>
          <w:rFonts w:ascii="Times New Roman" w:hAnsi="Times New Roman" w:cs="Times New Roman"/>
        </w:rPr>
        <w:t>sed model for delivering community aged care has re-set the traditional, more paternalistic relationship between providers and consumers. Our</w:t>
      </w:r>
      <w:r w:rsidRPr="00C203AC">
        <w:rPr>
          <w:rFonts w:ascii="Times New Roman" w:hAnsi="Times New Roman" w:cs="Times New Roman"/>
        </w:rPr>
        <w:t xml:space="preserve"> findings reveal that the philosophy of CDC resonated positively with </w:t>
      </w:r>
      <w:r>
        <w:rPr>
          <w:rFonts w:ascii="Times New Roman" w:hAnsi="Times New Roman" w:cs="Times New Roman"/>
        </w:rPr>
        <w:t xml:space="preserve">most of the </w:t>
      </w:r>
      <w:r w:rsidRPr="00C203AC">
        <w:rPr>
          <w:rFonts w:ascii="Times New Roman" w:hAnsi="Times New Roman" w:cs="Times New Roman"/>
        </w:rPr>
        <w:t>man</w:t>
      </w:r>
      <w:r>
        <w:rPr>
          <w:rFonts w:ascii="Times New Roman" w:hAnsi="Times New Roman" w:cs="Times New Roman"/>
        </w:rPr>
        <w:t>a</w:t>
      </w:r>
      <w:r w:rsidRPr="00C203AC">
        <w:rPr>
          <w:rFonts w:ascii="Times New Roman" w:hAnsi="Times New Roman" w:cs="Times New Roman"/>
        </w:rPr>
        <w:t xml:space="preserve">gers, who viewed </w:t>
      </w:r>
      <w:r>
        <w:rPr>
          <w:rFonts w:ascii="Times New Roman" w:hAnsi="Times New Roman" w:cs="Times New Roman"/>
        </w:rPr>
        <w:t xml:space="preserve">positively the </w:t>
      </w:r>
      <w:r w:rsidRPr="00C203AC">
        <w:rPr>
          <w:rFonts w:ascii="Times New Roman" w:hAnsi="Times New Roman" w:cs="Times New Roman"/>
        </w:rPr>
        <w:t>loosening</w:t>
      </w:r>
      <w:r>
        <w:rPr>
          <w:rFonts w:ascii="Times New Roman" w:hAnsi="Times New Roman" w:cs="Times New Roman"/>
        </w:rPr>
        <w:t xml:space="preserve"> of </w:t>
      </w:r>
      <w:r w:rsidRPr="00C203AC">
        <w:rPr>
          <w:rFonts w:ascii="Times New Roman" w:hAnsi="Times New Roman" w:cs="Times New Roman"/>
        </w:rPr>
        <w:t>traditional ideas about ‘what is best’ for the consumer</w:t>
      </w:r>
      <w:r>
        <w:rPr>
          <w:rFonts w:ascii="Times New Roman" w:hAnsi="Times New Roman" w:cs="Times New Roman"/>
        </w:rPr>
        <w:t>. They also accepted that CDC</w:t>
      </w:r>
      <w:r w:rsidRPr="00C203AC">
        <w:rPr>
          <w:rFonts w:ascii="Times New Roman" w:hAnsi="Times New Roman" w:cs="Times New Roman"/>
        </w:rPr>
        <w:t xml:space="preserve"> broaden</w:t>
      </w:r>
      <w:r>
        <w:rPr>
          <w:rFonts w:ascii="Times New Roman" w:hAnsi="Times New Roman" w:cs="Times New Roman"/>
        </w:rPr>
        <w:t>ed</w:t>
      </w:r>
      <w:r w:rsidRPr="00C203AC">
        <w:rPr>
          <w:rFonts w:ascii="Times New Roman" w:hAnsi="Times New Roman" w:cs="Times New Roman"/>
        </w:rPr>
        <w:t xml:space="preserve"> the role and responsibilities of workers and managers</w:t>
      </w:r>
      <w:r>
        <w:rPr>
          <w:rFonts w:ascii="Times New Roman" w:hAnsi="Times New Roman" w:cs="Times New Roman"/>
        </w:rPr>
        <w:t xml:space="preserve"> as they work with consumers to guide choices and tailor services</w:t>
      </w:r>
      <w:r w:rsidRPr="00C203AC">
        <w:rPr>
          <w:rFonts w:ascii="Times New Roman" w:hAnsi="Times New Roman" w:cs="Times New Roman"/>
        </w:rPr>
        <w:t>. At the same time</w:t>
      </w:r>
      <w:r>
        <w:rPr>
          <w:rFonts w:ascii="Times New Roman" w:hAnsi="Times New Roman" w:cs="Times New Roman"/>
        </w:rPr>
        <w:t>,</w:t>
      </w:r>
      <w:r w:rsidRPr="00C203AC">
        <w:rPr>
          <w:rFonts w:ascii="Times New Roman" w:hAnsi="Times New Roman" w:cs="Times New Roman"/>
        </w:rPr>
        <w:t xml:space="preserve"> the managers highlighted </w:t>
      </w:r>
      <w:r>
        <w:rPr>
          <w:rFonts w:ascii="Times New Roman" w:hAnsi="Times New Roman" w:cs="Times New Roman"/>
        </w:rPr>
        <w:t xml:space="preserve">that an unreserved enactment of </w:t>
      </w:r>
      <w:r w:rsidRPr="00C203AC">
        <w:rPr>
          <w:rFonts w:ascii="Times New Roman" w:hAnsi="Times New Roman" w:cs="Times New Roman"/>
        </w:rPr>
        <w:t xml:space="preserve">CDC was </w:t>
      </w:r>
      <w:r>
        <w:rPr>
          <w:rFonts w:ascii="Times New Roman" w:hAnsi="Times New Roman" w:cs="Times New Roman"/>
        </w:rPr>
        <w:t>impeded</w:t>
      </w:r>
      <w:r w:rsidRPr="00C203AC">
        <w:rPr>
          <w:rFonts w:ascii="Times New Roman" w:hAnsi="Times New Roman" w:cs="Times New Roman"/>
        </w:rPr>
        <w:t xml:space="preserve"> by</w:t>
      </w:r>
      <w:r>
        <w:rPr>
          <w:rFonts w:ascii="Times New Roman" w:hAnsi="Times New Roman" w:cs="Times New Roman"/>
        </w:rPr>
        <w:t xml:space="preserve"> several factors. Their cautious views </w:t>
      </w:r>
      <w:r>
        <w:rPr>
          <w:rFonts w:ascii="Times New Roman" w:hAnsi="Times New Roman" w:cs="Times New Roman"/>
        </w:rPr>
        <w:lastRenderedPageBreak/>
        <w:t xml:space="preserve">coincide with studies that suggest that many consumers may not have the capacity to determine care needs and buy appropriate services. The process of working through online information and bureaucratic processes may prove too difficult for many </w:t>
      </w:r>
      <w:r w:rsidRPr="00C203AC">
        <w:rPr>
          <w:rFonts w:ascii="Times New Roman" w:hAnsi="Times New Roman" w:cs="Times New Roman"/>
        </w:rPr>
        <w:t>elders</w:t>
      </w:r>
      <w:r>
        <w:rPr>
          <w:rFonts w:ascii="Times New Roman" w:hAnsi="Times New Roman" w:cs="Times New Roman"/>
        </w:rPr>
        <w:t>.</w:t>
      </w:r>
      <w:r w:rsidRPr="00C203AC">
        <w:rPr>
          <w:rFonts w:ascii="Times New Roman" w:hAnsi="Times New Roman" w:cs="Times New Roman"/>
        </w:rPr>
        <w:t xml:space="preserve"> Data </w:t>
      </w:r>
      <w:r>
        <w:rPr>
          <w:rFonts w:ascii="Times New Roman" w:hAnsi="Times New Roman" w:cs="Times New Roman"/>
        </w:rPr>
        <w:t>collected by</w:t>
      </w:r>
      <w:r w:rsidRPr="00C203AC">
        <w:rPr>
          <w:rFonts w:ascii="Times New Roman" w:hAnsi="Times New Roman" w:cs="Times New Roman"/>
        </w:rPr>
        <w:t xml:space="preserve"> </w:t>
      </w:r>
      <w:r>
        <w:rPr>
          <w:rFonts w:ascii="Times New Roman" w:hAnsi="Times New Roman" w:cs="Times New Roman"/>
        </w:rPr>
        <w:t xml:space="preserve">the Australian </w:t>
      </w:r>
      <w:r w:rsidRPr="00C203AC">
        <w:rPr>
          <w:rFonts w:ascii="Times New Roman" w:hAnsi="Times New Roman" w:cs="Times New Roman"/>
        </w:rPr>
        <w:t>National Seniors</w:t>
      </w:r>
      <w:r>
        <w:rPr>
          <w:rFonts w:ascii="Times New Roman" w:hAnsi="Times New Roman" w:cs="Times New Roman"/>
        </w:rPr>
        <w:t xml:space="preserve"> showed that only 54% of over 800 people who had used My Aged Care were sat</w:t>
      </w:r>
      <w:r w:rsidRPr="00C203AC">
        <w:rPr>
          <w:rFonts w:ascii="Times New Roman" w:hAnsi="Times New Roman" w:cs="Times New Roman"/>
        </w:rPr>
        <w:t xml:space="preserve">isfied with the information they received </w:t>
      </w:r>
      <w:r>
        <w:rPr>
          <w:rFonts w:ascii="Times New Roman" w:hAnsi="Times New Roman" w:cs="Times New Roman"/>
          <w:noProof/>
        </w:rPr>
        <w:t>(McCallum and Rees, 2017)</w:t>
      </w:r>
      <w:r>
        <w:rPr>
          <w:rFonts w:ascii="Times New Roman" w:hAnsi="Times New Roman" w:cs="Times New Roman"/>
        </w:rPr>
        <w:t xml:space="preserve">. </w:t>
      </w:r>
      <w:r w:rsidRPr="00C203AC">
        <w:rPr>
          <w:rFonts w:ascii="Times New Roman" w:hAnsi="Times New Roman" w:cs="Times New Roman"/>
        </w:rPr>
        <w:t>Our results su</w:t>
      </w:r>
      <w:r>
        <w:rPr>
          <w:rFonts w:ascii="Times New Roman" w:hAnsi="Times New Roman" w:cs="Times New Roman"/>
        </w:rPr>
        <w:t xml:space="preserve">pport the conclusion that </w:t>
      </w:r>
      <w:r w:rsidRPr="00C203AC">
        <w:rPr>
          <w:rFonts w:ascii="Times New Roman" w:hAnsi="Times New Roman" w:cs="Times New Roman"/>
        </w:rPr>
        <w:t xml:space="preserve">the task of navigating the website and understanding the process and package entitlement is </w:t>
      </w:r>
      <w:r>
        <w:rPr>
          <w:rFonts w:ascii="Times New Roman" w:hAnsi="Times New Roman" w:cs="Times New Roman"/>
        </w:rPr>
        <w:t>a barrier to enacting choice. This finding coincides with data that s</w:t>
      </w:r>
      <w:r w:rsidRPr="00C203AC">
        <w:rPr>
          <w:rFonts w:ascii="Times New Roman" w:hAnsi="Times New Roman" w:cs="Times New Roman"/>
        </w:rPr>
        <w:t>how</w:t>
      </w:r>
      <w:r>
        <w:rPr>
          <w:rFonts w:ascii="Times New Roman" w:hAnsi="Times New Roman" w:cs="Times New Roman"/>
        </w:rPr>
        <w:t>ed</w:t>
      </w:r>
      <w:r w:rsidRPr="00C203AC">
        <w:rPr>
          <w:rFonts w:ascii="Times New Roman" w:hAnsi="Times New Roman" w:cs="Times New Roman"/>
        </w:rPr>
        <w:t xml:space="preserve"> that 50% of Australians over the age of 65 do not regularly use the interne</w:t>
      </w:r>
      <w:r>
        <w:rPr>
          <w:rFonts w:ascii="Times New Roman" w:hAnsi="Times New Roman" w:cs="Times New Roman"/>
        </w:rPr>
        <w:t>t</w:t>
      </w:r>
      <w:r w:rsidRPr="00C203AC">
        <w:rPr>
          <w:rFonts w:ascii="Times New Roman" w:hAnsi="Times New Roman" w:cs="Times New Roman"/>
        </w:rPr>
        <w:t xml:space="preserve"> and 42 % over </w:t>
      </w:r>
      <w:r>
        <w:rPr>
          <w:rFonts w:ascii="Times New Roman" w:hAnsi="Times New Roman" w:cs="Times New Roman"/>
        </w:rPr>
        <w:t>the age of</w:t>
      </w:r>
      <w:r w:rsidRPr="00C203AC">
        <w:rPr>
          <w:rFonts w:ascii="Times New Roman" w:hAnsi="Times New Roman" w:cs="Times New Roman"/>
        </w:rPr>
        <w:t xml:space="preserve"> 80 have never done so</w:t>
      </w:r>
      <w:r>
        <w:rPr>
          <w:rFonts w:ascii="Times New Roman" w:hAnsi="Times New Roman" w:cs="Times New Roman"/>
        </w:rPr>
        <w:t xml:space="preserve"> </w:t>
      </w:r>
      <w:r>
        <w:rPr>
          <w:rFonts w:ascii="Times New Roman" w:hAnsi="Times New Roman" w:cs="Times New Roman"/>
          <w:noProof/>
        </w:rPr>
        <w:t>(Australian Communications and Media Authority, 2016)</w:t>
      </w:r>
      <w:r w:rsidRPr="00C203AC">
        <w:rPr>
          <w:rFonts w:ascii="Times New Roman" w:hAnsi="Times New Roman" w:cs="Times New Roman"/>
        </w:rPr>
        <w:t xml:space="preserve">. </w:t>
      </w:r>
      <w:r>
        <w:rPr>
          <w:rFonts w:ascii="Times New Roman" w:hAnsi="Times New Roman" w:cs="Times New Roman"/>
        </w:rPr>
        <w:t xml:space="preserve">Furthermore, </w:t>
      </w:r>
      <w:r w:rsidRPr="00C203AC">
        <w:rPr>
          <w:rFonts w:ascii="Times New Roman" w:hAnsi="Times New Roman" w:cs="Times New Roman"/>
        </w:rPr>
        <w:t>con</w:t>
      </w:r>
      <w:r>
        <w:rPr>
          <w:rFonts w:ascii="Times New Roman" w:hAnsi="Times New Roman" w:cs="Times New Roman"/>
        </w:rPr>
        <w:t>s</w:t>
      </w:r>
      <w:r w:rsidRPr="00C203AC">
        <w:rPr>
          <w:rFonts w:ascii="Times New Roman" w:hAnsi="Times New Roman" w:cs="Times New Roman"/>
        </w:rPr>
        <w:t xml:space="preserve">umers </w:t>
      </w:r>
      <w:r>
        <w:rPr>
          <w:rFonts w:ascii="Times New Roman" w:hAnsi="Times New Roman" w:cs="Times New Roman"/>
        </w:rPr>
        <w:t>who have a</w:t>
      </w:r>
      <w:r w:rsidRPr="00C203AC">
        <w:rPr>
          <w:rFonts w:ascii="Times New Roman" w:hAnsi="Times New Roman" w:cs="Times New Roman"/>
        </w:rPr>
        <w:t xml:space="preserve"> cognitive impairment</w:t>
      </w:r>
      <w:r>
        <w:rPr>
          <w:rFonts w:ascii="Times New Roman" w:hAnsi="Times New Roman" w:cs="Times New Roman"/>
        </w:rPr>
        <w:t xml:space="preserve"> are hampered in their efforts to comprehend and navigate the system and make the best choices for their care</w:t>
      </w:r>
      <w:r w:rsidRPr="00C203AC">
        <w:rPr>
          <w:rFonts w:ascii="Times New Roman" w:hAnsi="Times New Roman" w:cs="Times New Roman"/>
        </w:rPr>
        <w:t>.</w:t>
      </w:r>
      <w:r>
        <w:rPr>
          <w:rFonts w:ascii="Times New Roman" w:hAnsi="Times New Roman" w:cs="Times New Roman"/>
        </w:rPr>
        <w:t xml:space="preserve"> Without assistance, potential consumers may give up on the process. Those who do so add to</w:t>
      </w:r>
      <w:r w:rsidRPr="00C203AC">
        <w:rPr>
          <w:rFonts w:ascii="Times New Roman" w:hAnsi="Times New Roman" w:cs="Times New Roman"/>
        </w:rPr>
        <w:t xml:space="preserve"> possible estimates of unmet demand</w:t>
      </w:r>
      <w:r w:rsidR="00E03B91">
        <w:rPr>
          <w:rFonts w:ascii="Times New Roman" w:hAnsi="Times New Roman" w:cs="Times New Roman"/>
        </w:rPr>
        <w:t xml:space="preserve"> </w:t>
      </w:r>
      <w:r>
        <w:rPr>
          <w:rFonts w:ascii="Times New Roman" w:hAnsi="Times New Roman" w:cs="Times New Roman"/>
          <w:noProof/>
        </w:rPr>
        <w:t>(Department of Health, 2017)</w:t>
      </w:r>
      <w:r w:rsidRPr="00C203AC">
        <w:rPr>
          <w:rFonts w:ascii="Times New Roman" w:hAnsi="Times New Roman" w:cs="Times New Roman"/>
        </w:rPr>
        <w:t>.</w:t>
      </w:r>
    </w:p>
    <w:p w:rsidR="002F2633" w:rsidRDefault="002F2633" w:rsidP="00A061ED">
      <w:pPr>
        <w:rPr>
          <w:rFonts w:ascii="Times New Roman" w:hAnsi="Times New Roman" w:cs="Times New Roman"/>
        </w:rPr>
      </w:pPr>
      <w:r>
        <w:rPr>
          <w:rFonts w:ascii="Times New Roman" w:hAnsi="Times New Roman" w:cs="Times New Roman"/>
        </w:rPr>
        <w:t xml:space="preserve"> </w:t>
      </w:r>
    </w:p>
    <w:p w:rsidR="002F2633" w:rsidRDefault="002F2633" w:rsidP="00451D07">
      <w:pPr>
        <w:rPr>
          <w:rFonts w:ascii="Times New Roman" w:hAnsi="Times New Roman" w:cs="Times New Roman"/>
        </w:rPr>
      </w:pPr>
      <w:r>
        <w:rPr>
          <w:rFonts w:ascii="Times New Roman" w:hAnsi="Times New Roman" w:cs="Times New Roman"/>
        </w:rPr>
        <w:t xml:space="preserve">Our findings indicate that consumers need and appreciate assistance to understand their choices and to exercise agency. From their position and experience, the managers saw the necessity to act as guides and advocates to ensure that consumers </w:t>
      </w:r>
      <w:r w:rsidRPr="00C203AC">
        <w:rPr>
          <w:rFonts w:ascii="Times New Roman" w:hAnsi="Times New Roman" w:cs="Times New Roman"/>
        </w:rPr>
        <w:t>spen</w:t>
      </w:r>
      <w:r>
        <w:rPr>
          <w:rFonts w:ascii="Times New Roman" w:hAnsi="Times New Roman" w:cs="Times New Roman"/>
        </w:rPr>
        <w:t>d</w:t>
      </w:r>
      <w:r w:rsidRPr="00C203AC">
        <w:rPr>
          <w:rFonts w:ascii="Times New Roman" w:hAnsi="Times New Roman" w:cs="Times New Roman"/>
        </w:rPr>
        <w:t xml:space="preserve"> their </w:t>
      </w:r>
      <w:r>
        <w:rPr>
          <w:rFonts w:ascii="Times New Roman" w:hAnsi="Times New Roman" w:cs="Times New Roman"/>
        </w:rPr>
        <w:t xml:space="preserve">funding on care items that support their capacity to live independently. Consumers are presented with an array of providers and costings and may be tempted to select </w:t>
      </w:r>
      <w:r w:rsidRPr="00C203AC">
        <w:rPr>
          <w:rFonts w:ascii="Times New Roman" w:hAnsi="Times New Roman" w:cs="Times New Roman"/>
        </w:rPr>
        <w:t>lower cost items offered by remote providers</w:t>
      </w:r>
      <w:r>
        <w:rPr>
          <w:rFonts w:ascii="Times New Roman" w:hAnsi="Times New Roman" w:cs="Times New Roman"/>
        </w:rPr>
        <w:t>. Poor and unguided choices may not squarely meet needs and support ongoing independent living.</w:t>
      </w:r>
      <w:r w:rsidRPr="00C203AC">
        <w:rPr>
          <w:rFonts w:ascii="Times New Roman" w:hAnsi="Times New Roman" w:cs="Times New Roman"/>
        </w:rPr>
        <w:t xml:space="preserve"> </w:t>
      </w:r>
      <w:r>
        <w:rPr>
          <w:rFonts w:ascii="Times New Roman" w:hAnsi="Times New Roman" w:cs="Times New Roman"/>
        </w:rPr>
        <w:t xml:space="preserve">Poor choices may prioritise social support over more physical and clinical services. While it is recognised that social forms of care contribute to physical health, these may be unsuitable choices for some consumers: indeed, social support items are more likely to be chosen by consumers in funding systems such as CDC </w:t>
      </w:r>
      <w:r>
        <w:rPr>
          <w:rFonts w:ascii="Times New Roman" w:hAnsi="Times New Roman" w:cs="Times New Roman"/>
          <w:noProof/>
        </w:rPr>
        <w:t>(Simons et al., 2016)</w:t>
      </w:r>
      <w:r>
        <w:rPr>
          <w:rFonts w:ascii="Times New Roman" w:hAnsi="Times New Roman" w:cs="Times New Roman"/>
        </w:rPr>
        <w:t xml:space="preserve">. Misguided choices are likely to hold negative consequences for the consumer as well to add to demands for institutional forms of health care when consumers’ health deteriorates. </w:t>
      </w:r>
    </w:p>
    <w:p w:rsidR="002F2633" w:rsidRDefault="002F2633" w:rsidP="00A061ED">
      <w:pPr>
        <w:rPr>
          <w:rFonts w:ascii="Times New Roman" w:hAnsi="Times New Roman" w:cs="Times New Roman"/>
        </w:rPr>
      </w:pPr>
      <w:r>
        <w:rPr>
          <w:rFonts w:ascii="Times New Roman" w:hAnsi="Times New Roman" w:cs="Times New Roman"/>
        </w:rPr>
        <w:t xml:space="preserve"> </w:t>
      </w:r>
    </w:p>
    <w:p w:rsidR="002F2633" w:rsidRDefault="002F2633" w:rsidP="00D1066A">
      <w:pPr>
        <w:rPr>
          <w:rFonts w:ascii="Times New Roman" w:hAnsi="Times New Roman" w:cs="Times New Roman"/>
        </w:rPr>
      </w:pPr>
      <w:r>
        <w:rPr>
          <w:rFonts w:ascii="Times New Roman" w:hAnsi="Times New Roman" w:cs="Times New Roman"/>
        </w:rPr>
        <w:t xml:space="preserve">Some costs and charges may not be apparent to consumers. As the consumers in this study pointed out, administrative costs may be higher than they anticipated. Their accounts resonate with other findings that suggest that, on average, administrative expenses passed on to consumers account for 40% of package expenditure </w:t>
      </w:r>
      <w:r>
        <w:rPr>
          <w:rFonts w:ascii="Times New Roman" w:hAnsi="Times New Roman" w:cs="Times New Roman"/>
          <w:noProof/>
        </w:rPr>
        <w:t>(Belardi, 2017)</w:t>
      </w:r>
      <w:r>
        <w:rPr>
          <w:rFonts w:ascii="Times New Roman" w:hAnsi="Times New Roman" w:cs="Times New Roman"/>
        </w:rPr>
        <w:t xml:space="preserve">. Formal complaints regarding high administrative charges and other matters including lack of consultation and communication have risen in recent years </w:t>
      </w:r>
      <w:r>
        <w:rPr>
          <w:rFonts w:ascii="Times New Roman" w:hAnsi="Times New Roman" w:cs="Times New Roman"/>
          <w:noProof/>
        </w:rPr>
        <w:t>(Aged Care Complaints Commissioner, 2017)</w:t>
      </w:r>
      <w:r>
        <w:rPr>
          <w:rFonts w:ascii="Times New Roman" w:hAnsi="Times New Roman" w:cs="Times New Roman"/>
        </w:rPr>
        <w:t xml:space="preserve">. In Australia, </w:t>
      </w:r>
      <w:r w:rsidRPr="00614D24">
        <w:rPr>
          <w:rFonts w:ascii="Times New Roman" w:hAnsi="Times New Roman" w:cs="Times New Roman"/>
        </w:rPr>
        <w:t>providers are not required to disclose the</w:t>
      </w:r>
      <w:r>
        <w:rPr>
          <w:rFonts w:ascii="Times New Roman" w:hAnsi="Times New Roman" w:cs="Times New Roman"/>
        </w:rPr>
        <w:t>ir administrative fees</w:t>
      </w:r>
      <w:r w:rsidRPr="00614D24">
        <w:rPr>
          <w:rFonts w:ascii="Times New Roman" w:hAnsi="Times New Roman" w:cs="Times New Roman"/>
        </w:rPr>
        <w:t xml:space="preserve"> on </w:t>
      </w:r>
      <w:r>
        <w:rPr>
          <w:rFonts w:ascii="Times New Roman" w:hAnsi="Times New Roman" w:cs="Times New Roman"/>
        </w:rPr>
        <w:t xml:space="preserve">My Aged Care, </w:t>
      </w:r>
      <w:r>
        <w:rPr>
          <w:rFonts w:ascii="Times New Roman" w:hAnsi="Times New Roman" w:cs="Times New Roman"/>
        </w:rPr>
        <w:lastRenderedPageBreak/>
        <w:t xml:space="preserve">and data enabling fee comparison between providers are not available </w:t>
      </w:r>
      <w:r>
        <w:rPr>
          <w:rFonts w:ascii="Times New Roman" w:hAnsi="Times New Roman" w:cs="Times New Roman"/>
          <w:noProof/>
        </w:rPr>
        <w:t>(Jorgensen and Haddock, 2018)</w:t>
      </w:r>
      <w:r>
        <w:rPr>
          <w:rFonts w:ascii="Times New Roman" w:hAnsi="Times New Roman" w:cs="Times New Roman"/>
        </w:rPr>
        <w:t xml:space="preserve">. This opacity emphasises the need for consumer advocacy and guidance as they make choices about care provision. </w:t>
      </w:r>
    </w:p>
    <w:p w:rsidR="002F2633" w:rsidRDefault="002F2633" w:rsidP="00D1066A">
      <w:pPr>
        <w:rPr>
          <w:rFonts w:ascii="Times New Roman" w:hAnsi="Times New Roman" w:cs="Times New Roman"/>
        </w:rPr>
      </w:pPr>
    </w:p>
    <w:p w:rsidR="002F2633" w:rsidRDefault="002F2633" w:rsidP="00451D07">
      <w:pPr>
        <w:rPr>
          <w:rFonts w:ascii="Times New Roman" w:hAnsi="Times New Roman" w:cs="Times New Roman"/>
        </w:rPr>
      </w:pPr>
      <w:r>
        <w:rPr>
          <w:rFonts w:ascii="Times New Roman" w:hAnsi="Times New Roman" w:cs="Times New Roman"/>
        </w:rPr>
        <w:t>For providers, a</w:t>
      </w:r>
      <w:r w:rsidRPr="00C203AC">
        <w:rPr>
          <w:rFonts w:ascii="Times New Roman" w:hAnsi="Times New Roman" w:cs="Times New Roman"/>
        </w:rPr>
        <w:t>dminis</w:t>
      </w:r>
      <w:r>
        <w:rPr>
          <w:rFonts w:ascii="Times New Roman" w:hAnsi="Times New Roman" w:cs="Times New Roman"/>
        </w:rPr>
        <w:t>trative</w:t>
      </w:r>
      <w:r w:rsidRPr="00C203AC">
        <w:rPr>
          <w:rFonts w:ascii="Times New Roman" w:hAnsi="Times New Roman" w:cs="Times New Roman"/>
        </w:rPr>
        <w:t xml:space="preserve"> costs have increased along with </w:t>
      </w:r>
      <w:r>
        <w:rPr>
          <w:rFonts w:ascii="Times New Roman" w:hAnsi="Times New Roman" w:cs="Times New Roman"/>
        </w:rPr>
        <w:t xml:space="preserve">the introduction of </w:t>
      </w:r>
      <w:r w:rsidRPr="00C203AC">
        <w:rPr>
          <w:rFonts w:ascii="Times New Roman" w:hAnsi="Times New Roman" w:cs="Times New Roman"/>
        </w:rPr>
        <w:t>CDC</w:t>
      </w:r>
      <w:r>
        <w:rPr>
          <w:rFonts w:ascii="Times New Roman" w:hAnsi="Times New Roman" w:cs="Times New Roman"/>
        </w:rPr>
        <w:t xml:space="preserve"> </w:t>
      </w:r>
      <w:r>
        <w:rPr>
          <w:rFonts w:ascii="Times New Roman" w:hAnsi="Times New Roman" w:cs="Times New Roman"/>
          <w:noProof/>
        </w:rPr>
        <w:t>(KPMG, 2015)</w:t>
      </w:r>
      <w:r>
        <w:rPr>
          <w:rFonts w:ascii="Times New Roman" w:hAnsi="Times New Roman" w:cs="Times New Roman"/>
        </w:rPr>
        <w:t xml:space="preserve">. This means that service provision and charges to consumers must be tailored to meet the ‘bottom line’ of individual organisations. In rural areas, the costs of delivering services grow as distance to consumers increases. </w:t>
      </w:r>
      <w:r w:rsidRPr="0013355B">
        <w:rPr>
          <w:rFonts w:ascii="Times New Roman" w:hAnsi="Times New Roman" w:cs="Times New Roman"/>
        </w:rPr>
        <w:t xml:space="preserve">Travel costs are </w:t>
      </w:r>
      <w:r>
        <w:rPr>
          <w:rFonts w:ascii="Times New Roman" w:hAnsi="Times New Roman" w:cs="Times New Roman"/>
        </w:rPr>
        <w:t xml:space="preserve">therefore </w:t>
      </w:r>
      <w:r w:rsidRPr="0013355B">
        <w:rPr>
          <w:rFonts w:ascii="Times New Roman" w:hAnsi="Times New Roman" w:cs="Times New Roman"/>
        </w:rPr>
        <w:t xml:space="preserve">greater in rural areas but </w:t>
      </w:r>
      <w:r>
        <w:rPr>
          <w:rFonts w:ascii="Times New Roman" w:hAnsi="Times New Roman" w:cs="Times New Roman"/>
        </w:rPr>
        <w:t>it seems from our data that this expense is offset by the advantages of choosing a local provider who is well-placed to provide ongoing assessment, clear communication, and familiar relationships with direct care workers. Notably, as the managers in this study describe, local providers draw from necessary interservice networks and collaboration to maximise resources and their capacity to care comprehensively for their consumers. Correspondingly, the consumers in our study reported high levels of satisfaction with the advice and care they received from their local providers.</w:t>
      </w:r>
    </w:p>
    <w:p w:rsidR="002F2633" w:rsidRPr="0013355B" w:rsidRDefault="002F2633" w:rsidP="00451D07">
      <w:pPr>
        <w:rPr>
          <w:rFonts w:ascii="Times New Roman" w:hAnsi="Times New Roman" w:cs="Times New Roman"/>
        </w:rPr>
      </w:pPr>
    </w:p>
    <w:p w:rsidR="002F2633" w:rsidRPr="000A4E9E" w:rsidRDefault="002F2633" w:rsidP="000A4E9E">
      <w:pPr>
        <w:rPr>
          <w:rFonts w:ascii="Times New Roman" w:hAnsi="Times New Roman" w:cs="Times New Roman"/>
        </w:rPr>
      </w:pPr>
      <w:r>
        <w:rPr>
          <w:rFonts w:ascii="Times New Roman" w:hAnsi="Times New Roman" w:cs="Times New Roman"/>
        </w:rPr>
        <w:t>A major cause of dissatisfaction for consumers and providers arises from the wait time for higher level packages to be activated. Consumers are placed in a queue, sometimes for a year or more. Our data coincides with statistics that reveal that some</w:t>
      </w:r>
      <w:r w:rsidRPr="000A4E9E">
        <w:rPr>
          <w:rFonts w:ascii="Times New Roman" w:hAnsi="Times New Roman" w:cs="Times New Roman"/>
        </w:rPr>
        <w:t xml:space="preserve"> 27% of consumers </w:t>
      </w:r>
      <w:r>
        <w:rPr>
          <w:rFonts w:ascii="Times New Roman" w:hAnsi="Times New Roman" w:cs="Times New Roman"/>
        </w:rPr>
        <w:t xml:space="preserve">in the queue </w:t>
      </w:r>
      <w:r w:rsidRPr="000A4E9E">
        <w:rPr>
          <w:rFonts w:ascii="Times New Roman" w:hAnsi="Times New Roman" w:cs="Times New Roman"/>
        </w:rPr>
        <w:t>were approved for home care packages more than 12 months previously</w:t>
      </w:r>
      <w:r>
        <w:rPr>
          <w:rFonts w:ascii="Times New Roman" w:hAnsi="Times New Roman" w:cs="Times New Roman"/>
        </w:rPr>
        <w:t xml:space="preserve"> </w:t>
      </w:r>
      <w:r>
        <w:rPr>
          <w:rFonts w:ascii="Times New Roman" w:hAnsi="Times New Roman" w:cs="Times New Roman"/>
          <w:noProof/>
        </w:rPr>
        <w:t>(Department of Health, 2019)</w:t>
      </w:r>
      <w:r w:rsidRPr="000A4E9E">
        <w:rPr>
          <w:rFonts w:ascii="Times New Roman" w:hAnsi="Times New Roman" w:cs="Times New Roman"/>
        </w:rPr>
        <w:t>.</w:t>
      </w:r>
      <w:r>
        <w:rPr>
          <w:rFonts w:ascii="Times New Roman" w:hAnsi="Times New Roman" w:cs="Times New Roman"/>
        </w:rPr>
        <w:t xml:space="preserve"> Interim services are likely to be inadequate for consumers’ needs unless their existing providers and other local services can top these up. At the end of 2017, 82,000 consumers were on the waiting list in this country </w:t>
      </w:r>
      <w:r>
        <w:rPr>
          <w:rFonts w:ascii="Times New Roman" w:hAnsi="Times New Roman" w:cs="Times New Roman"/>
          <w:noProof/>
        </w:rPr>
        <w:t>(Department of Health, 2019)</w:t>
      </w:r>
      <w:r>
        <w:rPr>
          <w:rFonts w:ascii="Times New Roman" w:hAnsi="Times New Roman" w:cs="Times New Roman"/>
        </w:rPr>
        <w:t>. The implications of this wait time extend beyond consumers’ individual and local circumstances. Insufficient supportive</w:t>
      </w:r>
      <w:r w:rsidRPr="000A4E9E">
        <w:rPr>
          <w:rFonts w:ascii="Times New Roman" w:hAnsi="Times New Roman" w:cs="Times New Roman"/>
        </w:rPr>
        <w:t xml:space="preserve"> </w:t>
      </w:r>
      <w:r>
        <w:rPr>
          <w:rFonts w:ascii="Times New Roman" w:hAnsi="Times New Roman" w:cs="Times New Roman"/>
        </w:rPr>
        <w:t xml:space="preserve">services over a lengthy duration may reduce consumer’s capacity to stay at home: care demands will be re-directed to informal carers, acute health services and residential care </w:t>
      </w:r>
      <w:r>
        <w:rPr>
          <w:rFonts w:ascii="Times New Roman" w:hAnsi="Times New Roman" w:cs="Times New Roman"/>
          <w:noProof/>
        </w:rPr>
        <w:t>(Jorgensen and Haddock, 2018)</w:t>
      </w:r>
      <w:r w:rsidRPr="000A4E9E">
        <w:rPr>
          <w:rFonts w:ascii="Times New Roman" w:hAnsi="Times New Roman" w:cs="Times New Roman"/>
        </w:rPr>
        <w:t xml:space="preserve">. </w:t>
      </w:r>
    </w:p>
    <w:p w:rsidR="002F2633" w:rsidRDefault="002F2633" w:rsidP="000A4E9E">
      <w:pPr>
        <w:rPr>
          <w:rFonts w:ascii="Times New Roman" w:hAnsi="Times New Roman" w:cs="Times New Roman"/>
        </w:rPr>
      </w:pPr>
    </w:p>
    <w:p w:rsidR="002F2633" w:rsidRPr="00C203AC" w:rsidRDefault="002F2633" w:rsidP="00CD26C7">
      <w:pPr>
        <w:rPr>
          <w:rFonts w:ascii="Times New Roman" w:hAnsi="Times New Roman" w:cs="Times New Roman"/>
        </w:rPr>
      </w:pPr>
      <w:r>
        <w:rPr>
          <w:rFonts w:ascii="Times New Roman" w:hAnsi="Times New Roman" w:cs="Times New Roman"/>
        </w:rPr>
        <w:t xml:space="preserve">A key aim of the market-based system of care provision is to enhance the quality and innovation of service delivery </w:t>
      </w:r>
      <w:r>
        <w:rPr>
          <w:rFonts w:ascii="Times New Roman" w:hAnsi="Times New Roman" w:cs="Times New Roman"/>
          <w:noProof/>
        </w:rPr>
        <w:t>(Department of Social Services, 2015)</w:t>
      </w:r>
      <w:r>
        <w:rPr>
          <w:rFonts w:ascii="Times New Roman" w:hAnsi="Times New Roman" w:cs="Times New Roman"/>
        </w:rPr>
        <w:t xml:space="preserve">. However, national data indicate an increase in consumer complaints concerning lack of consultation by and communication with providers </w:t>
      </w:r>
      <w:r>
        <w:rPr>
          <w:rFonts w:ascii="Times New Roman" w:hAnsi="Times New Roman" w:cs="Times New Roman"/>
          <w:noProof/>
        </w:rPr>
        <w:t>(Aged Care Complaints Commissioner, 2017)</w:t>
      </w:r>
      <w:r>
        <w:rPr>
          <w:rFonts w:ascii="Times New Roman" w:hAnsi="Times New Roman" w:cs="Times New Roman"/>
        </w:rPr>
        <w:t>. Available data relating to quality indicators and care outcomes are</w:t>
      </w:r>
      <w:r w:rsidRPr="00614D24">
        <w:rPr>
          <w:rFonts w:ascii="Times New Roman" w:hAnsi="Times New Roman" w:cs="Times New Roman"/>
        </w:rPr>
        <w:t xml:space="preserve"> limited </w:t>
      </w:r>
      <w:r>
        <w:rPr>
          <w:rFonts w:ascii="Times New Roman" w:hAnsi="Times New Roman" w:cs="Times New Roman"/>
          <w:noProof/>
        </w:rPr>
        <w:t>(Jorgensen and Haddock, 2018)</w:t>
      </w:r>
      <w:r>
        <w:rPr>
          <w:rFonts w:ascii="Times New Roman" w:hAnsi="Times New Roman" w:cs="Times New Roman"/>
        </w:rPr>
        <w:t xml:space="preserve">. Hence, consumers lack crucial information to guide their choice of provider and care items. This lack may be </w:t>
      </w:r>
      <w:r>
        <w:rPr>
          <w:rFonts w:ascii="Times New Roman" w:hAnsi="Times New Roman" w:cs="Times New Roman"/>
        </w:rPr>
        <w:lastRenderedPageBreak/>
        <w:t>rectified once q</w:t>
      </w:r>
      <w:r w:rsidRPr="006E7996">
        <w:rPr>
          <w:rFonts w:ascii="Times New Roman" w:hAnsi="Times New Roman" w:cs="Times New Roman"/>
        </w:rPr>
        <w:t xml:space="preserve">uality standards </w:t>
      </w:r>
      <w:r>
        <w:rPr>
          <w:rFonts w:ascii="Times New Roman" w:hAnsi="Times New Roman" w:cs="Times New Roman"/>
        </w:rPr>
        <w:t>are</w:t>
      </w:r>
      <w:r w:rsidRPr="006E7996">
        <w:rPr>
          <w:rFonts w:ascii="Times New Roman" w:hAnsi="Times New Roman" w:cs="Times New Roman"/>
        </w:rPr>
        <w:t xml:space="preserve"> imposed on providers in 2019 </w:t>
      </w:r>
      <w:r>
        <w:rPr>
          <w:rFonts w:ascii="Times New Roman" w:hAnsi="Times New Roman" w:cs="Times New Roman"/>
          <w:noProof/>
        </w:rPr>
        <w:t>(Jorgensen and Haddock, 2018)</w:t>
      </w:r>
      <w:r>
        <w:rPr>
          <w:rFonts w:ascii="Times New Roman" w:hAnsi="Times New Roman" w:cs="Times New Roman"/>
        </w:rPr>
        <w:t>.</w:t>
      </w:r>
    </w:p>
    <w:p w:rsidR="002F2633" w:rsidRDefault="002F2633" w:rsidP="00CD26C7">
      <w:pPr>
        <w:rPr>
          <w:rFonts w:ascii="Times New Roman" w:hAnsi="Times New Roman" w:cs="Times New Roman"/>
        </w:rPr>
      </w:pPr>
    </w:p>
    <w:p w:rsidR="002F2633" w:rsidRDefault="002F2633" w:rsidP="006A4712">
      <w:pPr>
        <w:rPr>
          <w:rFonts w:ascii="Times New Roman" w:hAnsi="Times New Roman" w:cs="Times New Roman"/>
        </w:rPr>
      </w:pPr>
      <w:r>
        <w:rPr>
          <w:rFonts w:ascii="Times New Roman" w:hAnsi="Times New Roman" w:cs="Times New Roman"/>
        </w:rPr>
        <w:t>The need t</w:t>
      </w:r>
      <w:r w:rsidRPr="0013355B">
        <w:rPr>
          <w:rFonts w:ascii="Times New Roman" w:hAnsi="Times New Roman" w:cs="Times New Roman"/>
        </w:rPr>
        <w:t xml:space="preserve">o monitor outcomes </w:t>
      </w:r>
      <w:r>
        <w:rPr>
          <w:rFonts w:ascii="Times New Roman" w:hAnsi="Times New Roman" w:cs="Times New Roman"/>
        </w:rPr>
        <w:t>relates to quality in terms of workforce maintenance and the capacity of workers to service both the consumer and the concept of care itself. As the consumers in this study note, this element of care delivery, particularly as it is achieved via valued relationships with direct care workers, is central to satisfaction and perceptions of quality care</w:t>
      </w:r>
      <w:r w:rsidRPr="0013355B">
        <w:rPr>
          <w:rFonts w:ascii="Times New Roman" w:hAnsi="Times New Roman" w:cs="Times New Roman"/>
        </w:rPr>
        <w:t xml:space="preserve"> </w:t>
      </w:r>
      <w:r>
        <w:rPr>
          <w:rFonts w:ascii="Times New Roman" w:hAnsi="Times New Roman" w:cs="Times New Roman"/>
          <w:noProof/>
        </w:rPr>
        <w:t>(Day et al., 2017)</w:t>
      </w:r>
      <w:r>
        <w:rPr>
          <w:rFonts w:ascii="Times New Roman" w:hAnsi="Times New Roman" w:cs="Times New Roman"/>
        </w:rPr>
        <w:t xml:space="preserve">. However, sustaining this sector’s workforce is seen as a huge challenge as recruitment to direct care roles has diminished while care demands have increased over several decades. In this study, the consumers across the various rural localities are mostly in receipt of entry level, (CHSP) care packages. Some, of course, are queued awaiting higher level packages. All will need more and complex care as time goes on. Indeed, many of these consumers on low level packages are currently in need of more services than their present allocation provides </w:t>
      </w:r>
      <w:r>
        <w:rPr>
          <w:rFonts w:ascii="Times New Roman" w:hAnsi="Times New Roman" w:cs="Times New Roman"/>
          <w:noProof/>
        </w:rPr>
        <w:t>(Leading Age Services Australia, 2017)</w:t>
      </w:r>
      <w:r>
        <w:rPr>
          <w:rFonts w:ascii="Times New Roman" w:hAnsi="Times New Roman" w:cs="Times New Roman"/>
        </w:rPr>
        <w:t>. The present and changing situation poses problems for the managers in this study who must redouble efforts to recruit and train new and committed direct care workers if they are to continue to provide quality care, compete with remote providers, and meet budget imperatives.</w:t>
      </w:r>
    </w:p>
    <w:p w:rsidR="002F2633" w:rsidRDefault="002F2633" w:rsidP="0013355B">
      <w:pPr>
        <w:rPr>
          <w:rFonts w:ascii="Times New Roman" w:hAnsi="Times New Roman" w:cs="Times New Roman"/>
        </w:rPr>
      </w:pPr>
    </w:p>
    <w:p w:rsidR="002F2633" w:rsidRDefault="002F2633" w:rsidP="00933503">
      <w:pPr>
        <w:rPr>
          <w:rFonts w:ascii="Times New Roman" w:hAnsi="Times New Roman" w:cs="Times New Roman"/>
        </w:rPr>
      </w:pPr>
      <w:r>
        <w:rPr>
          <w:rFonts w:ascii="Times New Roman" w:hAnsi="Times New Roman" w:cs="Times New Roman"/>
        </w:rPr>
        <w:t>The achievement of a suitably skilled, sustainable workforce looms as one of the major challenges for rural areas. Australian rural towns are populated by increasing numbers of baby-boomers relative to younger cohorts. This demographic trend, along with the generally held view of aged care work as poorly remunerated, dead-end and gendered work, hold particular implications for recruitment and retention in rural areas. It also holds implications for the capacity of the sector to achieve policy aims for supporting elders to age in place and to reduce demands on tertiary health care services.</w:t>
      </w:r>
    </w:p>
    <w:p w:rsidR="002F2633" w:rsidRDefault="002F2633" w:rsidP="00B20B41">
      <w:pPr>
        <w:rPr>
          <w:rFonts w:ascii="Times New Roman" w:hAnsi="Times New Roman" w:cs="Times New Roman"/>
        </w:rPr>
      </w:pPr>
    </w:p>
    <w:p w:rsidR="002F2633" w:rsidRDefault="002F2633">
      <w:pPr>
        <w:rPr>
          <w:b/>
        </w:rPr>
      </w:pPr>
      <w:r>
        <w:rPr>
          <w:b/>
        </w:rPr>
        <w:t>Conclusion</w:t>
      </w:r>
    </w:p>
    <w:p w:rsidR="002F2633" w:rsidRDefault="002F2633" w:rsidP="005430E3">
      <w:pPr>
        <w:rPr>
          <w:rFonts w:ascii="Times New Roman" w:hAnsi="Times New Roman" w:cs="Times New Roman"/>
        </w:rPr>
      </w:pPr>
      <w:r w:rsidRPr="00933503">
        <w:t xml:space="preserve">The </w:t>
      </w:r>
      <w:r>
        <w:t xml:space="preserve">findings presented here illustrate the challenges associated with accessing and providing care services in a rural and semi-remote part of Australia. Policy reforms that situate community aged care within a market-based, competitive environment have achieved equivocal outcomes in terms of the realisation of consumer choice and the receipt of timely, quality services. Indeed, given the complexity, wait times and lack of information around provider standards, this new environment, holds the </w:t>
      </w:r>
      <w:r w:rsidRPr="00614D24">
        <w:rPr>
          <w:rFonts w:ascii="Times New Roman" w:hAnsi="Times New Roman" w:cs="Times New Roman"/>
        </w:rPr>
        <w:t xml:space="preserve">potential to </w:t>
      </w:r>
      <w:r w:rsidRPr="00614D24">
        <w:rPr>
          <w:rFonts w:ascii="Times New Roman" w:hAnsi="Times New Roman" w:cs="Times New Roman"/>
        </w:rPr>
        <w:lastRenderedPageBreak/>
        <w:t xml:space="preserve">exacerbate inequalities for those who do not have the necessary knowledge, skills and abilities to navigate the process </w:t>
      </w:r>
      <w:r>
        <w:rPr>
          <w:rFonts w:ascii="Times New Roman" w:hAnsi="Times New Roman" w:cs="Times New Roman"/>
          <w:noProof/>
        </w:rPr>
        <w:t>(Jorgensen and Haddock, 2018, Brennan et al., 2012)</w:t>
      </w:r>
      <w:r w:rsidRPr="00614D24">
        <w:rPr>
          <w:rFonts w:ascii="Times New Roman" w:hAnsi="Times New Roman" w:cs="Times New Roman"/>
        </w:rPr>
        <w:t>.</w:t>
      </w:r>
      <w:r>
        <w:rPr>
          <w:rFonts w:ascii="Times New Roman" w:hAnsi="Times New Roman" w:cs="Times New Roman"/>
        </w:rPr>
        <w:t xml:space="preserve"> More broadly, when these difficulties result in lack of appropriate levels of service, demands on tertiary health services are likely to increase. For their part, service managers are required to adjust to a customer focus, set and achieve standards for quality care while meeting ‘bottom line’ imperatives and maintaining a suitably skilled workforce.  </w:t>
      </w:r>
    </w:p>
    <w:p w:rsidR="002F2633" w:rsidRDefault="002F2633" w:rsidP="005430E3">
      <w:pPr>
        <w:rPr>
          <w:rFonts w:ascii="Times New Roman" w:hAnsi="Times New Roman" w:cs="Times New Roman"/>
        </w:rPr>
      </w:pPr>
    </w:p>
    <w:p w:rsidR="002F2633" w:rsidRPr="00C203AC" w:rsidRDefault="002F2633" w:rsidP="00DB387F">
      <w:pPr>
        <w:rPr>
          <w:rFonts w:ascii="Times New Roman" w:hAnsi="Times New Roman" w:cs="Times New Roman"/>
          <w:lang w:val="en-US"/>
        </w:rPr>
      </w:pPr>
      <w:r>
        <w:rPr>
          <w:rFonts w:ascii="Times New Roman" w:hAnsi="Times New Roman" w:cs="Times New Roman"/>
        </w:rPr>
        <w:t xml:space="preserve">In this study, the issues associated with shrinking workforce pools and distance appear to be offset by the Services’ capacity to provide a wide range of services. </w:t>
      </w:r>
      <w:r w:rsidRPr="00B20B41">
        <w:rPr>
          <w:rFonts w:ascii="Times New Roman" w:hAnsi="Times New Roman" w:cs="Times New Roman"/>
        </w:rPr>
        <w:t>The data</w:t>
      </w:r>
      <w:r>
        <w:rPr>
          <w:rFonts w:ascii="Times New Roman" w:hAnsi="Times New Roman" w:cs="Times New Roman"/>
        </w:rPr>
        <w:t xml:space="preserve"> </w:t>
      </w:r>
      <w:r w:rsidRPr="00B20B41">
        <w:rPr>
          <w:rFonts w:ascii="Times New Roman" w:hAnsi="Times New Roman" w:cs="Times New Roman"/>
        </w:rPr>
        <w:t>from the managers’ interviews indicate that there exists a strong interface and working relationship with acute and primary care providers, and that this relationship functions to enable a holistic approach to care planning and to assist consumers to get the most out of their packages.</w:t>
      </w:r>
      <w:r>
        <w:rPr>
          <w:rFonts w:ascii="Times New Roman" w:hAnsi="Times New Roman" w:cs="Times New Roman"/>
        </w:rPr>
        <w:t xml:space="preserve"> This finding implies that rurally-based services, because of their location and necessary networks, are well-placed to </w:t>
      </w:r>
      <w:r w:rsidRPr="00C203AC">
        <w:rPr>
          <w:rFonts w:ascii="Times New Roman" w:hAnsi="Times New Roman" w:cs="Times New Roman"/>
        </w:rPr>
        <w:t>achieve</w:t>
      </w:r>
      <w:r>
        <w:rPr>
          <w:rFonts w:ascii="Times New Roman" w:hAnsi="Times New Roman" w:cs="Times New Roman"/>
        </w:rPr>
        <w:t xml:space="preserve"> the ideals of</w:t>
      </w:r>
      <w:r w:rsidRPr="00C203AC">
        <w:rPr>
          <w:rFonts w:ascii="Times New Roman" w:hAnsi="Times New Roman" w:cs="Times New Roman"/>
        </w:rPr>
        <w:t xml:space="preserve"> care</w:t>
      </w:r>
      <w:r>
        <w:rPr>
          <w:rFonts w:ascii="Times New Roman" w:hAnsi="Times New Roman" w:cs="Times New Roman"/>
        </w:rPr>
        <w:t>.</w:t>
      </w:r>
    </w:p>
    <w:p w:rsidR="002F2633" w:rsidRDefault="002F2633">
      <w:pPr>
        <w:rPr>
          <w:b/>
        </w:rPr>
      </w:pPr>
    </w:p>
    <w:p w:rsidR="002F2633" w:rsidRPr="00614890" w:rsidRDefault="002F2633">
      <w:pPr>
        <w:rPr>
          <w:rFonts w:ascii="Times New Roman" w:hAnsi="Times New Roman" w:cs="Times New Roman"/>
          <w:b/>
        </w:rPr>
      </w:pPr>
      <w:r w:rsidRPr="00614890">
        <w:rPr>
          <w:rFonts w:ascii="Times New Roman" w:hAnsi="Times New Roman" w:cs="Times New Roman"/>
          <w:b/>
        </w:rPr>
        <w:t>Acknowledgements</w:t>
      </w:r>
    </w:p>
    <w:p w:rsidR="002F2633" w:rsidRDefault="002F2633">
      <w:pPr>
        <w:rPr>
          <w:b/>
        </w:rPr>
      </w:pPr>
      <w:r w:rsidRPr="00B03AE3">
        <w:rPr>
          <w:rFonts w:ascii="Times New Roman" w:hAnsi="Times New Roman" w:cs="Times New Roman"/>
        </w:rPr>
        <w:t>We are grateful for the financial support provided by the Australian  Government  through the Regional Jobs and Investment funding, Westmont Aged Care Services, Alpine Health Service, Beechworth Health Service, Corryong Health Service and Tallangatta Health Service</w:t>
      </w:r>
      <w:r>
        <w:rPr>
          <w:b/>
        </w:rPr>
        <w:t>.</w:t>
      </w:r>
    </w:p>
    <w:p w:rsidR="002F2633" w:rsidRDefault="002F2633">
      <w:pPr>
        <w:spacing w:after="160" w:line="259" w:lineRule="auto"/>
        <w:jc w:val="left"/>
        <w:rPr>
          <w:b/>
        </w:rPr>
      </w:pPr>
      <w:r>
        <w:rPr>
          <w:b/>
        </w:rPr>
        <w:br w:type="page"/>
      </w:r>
    </w:p>
    <w:p w:rsidR="002F2633" w:rsidRDefault="002F2633">
      <w:pPr>
        <w:rPr>
          <w:b/>
        </w:rPr>
      </w:pPr>
      <w:r>
        <w:rPr>
          <w:b/>
        </w:rPr>
        <w:lastRenderedPageBreak/>
        <w:t xml:space="preserve">References </w:t>
      </w:r>
    </w:p>
    <w:p w:rsidR="002F2633" w:rsidRPr="006E544F" w:rsidRDefault="002F2633" w:rsidP="006E544F">
      <w:pPr>
        <w:pStyle w:val="EndNoteBibliography"/>
        <w:ind w:left="720" w:hanging="720"/>
      </w:pPr>
      <w:r w:rsidRPr="006E544F">
        <w:t>AGED CARE COMPLAINTS COMMISSIONER 2017. Aged Care Complaints Commissioner Annual Report 2016-17.</w:t>
      </w:r>
    </w:p>
    <w:p w:rsidR="002F2633" w:rsidRPr="006E544F" w:rsidRDefault="002F2633" w:rsidP="006E544F">
      <w:pPr>
        <w:pStyle w:val="EndNoteBibliography"/>
        <w:ind w:left="720" w:hanging="720"/>
      </w:pPr>
      <w:r w:rsidRPr="006E544F">
        <w:t>AUSTRALIAN COMMUNICATIONS AND MEDIA AUTHORITY 2016. Research snapshots: Digital lives of older Australians.</w:t>
      </w:r>
    </w:p>
    <w:p w:rsidR="002F2633" w:rsidRPr="006E544F" w:rsidRDefault="002F2633" w:rsidP="006E544F">
      <w:pPr>
        <w:pStyle w:val="EndNoteBibliography"/>
        <w:ind w:left="720" w:hanging="720"/>
      </w:pPr>
      <w:r w:rsidRPr="006E544F">
        <w:t>AUSTRALIAN INSTITUTE OF HEALTH AND WELFARE 2018 Australia's Health. Australia’s health series no. 16. Cat. no. AUS 221. Canberra: AIHW.</w:t>
      </w:r>
    </w:p>
    <w:p w:rsidR="002F2633" w:rsidRPr="006E544F" w:rsidRDefault="002F2633" w:rsidP="006E544F">
      <w:pPr>
        <w:pStyle w:val="EndNoteBibliography"/>
        <w:ind w:left="720" w:hanging="720"/>
      </w:pPr>
      <w:r w:rsidRPr="006E544F">
        <w:t xml:space="preserve">BALDWIN, R., CHENOWETH, L. &amp; DELA RAMA, M. 2015. Residential Aged Care Policy in Australia: Are we learning from evidence? </w:t>
      </w:r>
      <w:r w:rsidRPr="006E544F">
        <w:rPr>
          <w:i/>
        </w:rPr>
        <w:t>Australian Journal of Public Administration,</w:t>
      </w:r>
      <w:r w:rsidRPr="006E544F">
        <w:t xml:space="preserve"> 74</w:t>
      </w:r>
      <w:r w:rsidRPr="006E544F">
        <w:rPr>
          <w:b/>
        </w:rPr>
        <w:t>,</w:t>
      </w:r>
      <w:r w:rsidRPr="006E544F">
        <w:t xml:space="preserve"> 128-141.</w:t>
      </w:r>
    </w:p>
    <w:p w:rsidR="002F2633" w:rsidRPr="006E544F" w:rsidRDefault="002F2633" w:rsidP="006E544F">
      <w:pPr>
        <w:pStyle w:val="EndNoteBibliography"/>
        <w:ind w:left="720" w:hanging="720"/>
      </w:pPr>
      <w:r w:rsidRPr="006E544F">
        <w:t>BELARDI, L. 2017. Call to standardise CDC expenditure reporting Community Care Review.</w:t>
      </w:r>
    </w:p>
    <w:p w:rsidR="002F2633" w:rsidRPr="006E544F" w:rsidRDefault="002F2633" w:rsidP="006E544F">
      <w:pPr>
        <w:pStyle w:val="EndNoteBibliography"/>
        <w:ind w:left="720" w:hanging="720"/>
      </w:pPr>
      <w:r w:rsidRPr="006E544F">
        <w:t xml:space="preserve">BRENNAN, D., CASS, B., HIMMELWEIT, S. &amp; SZEBEHELY, M. 2012. The marketisation of care: Rationales and consequences in Nordic and liberal care regimes. </w:t>
      </w:r>
      <w:r w:rsidRPr="006E544F">
        <w:rPr>
          <w:i/>
        </w:rPr>
        <w:t>Journal of European Social Policy,</w:t>
      </w:r>
      <w:r w:rsidRPr="006E544F">
        <w:t xml:space="preserve"> 22</w:t>
      </w:r>
      <w:r w:rsidRPr="006E544F">
        <w:rPr>
          <w:b/>
        </w:rPr>
        <w:t>,</w:t>
      </w:r>
      <w:r w:rsidRPr="006E544F">
        <w:t xml:space="preserve"> 377-391.</w:t>
      </w:r>
    </w:p>
    <w:p w:rsidR="002F2633" w:rsidRPr="006E544F" w:rsidRDefault="002F2633" w:rsidP="006E544F">
      <w:pPr>
        <w:pStyle w:val="EndNoteBibliography"/>
        <w:ind w:left="720" w:hanging="720"/>
      </w:pPr>
      <w:r w:rsidRPr="006E544F">
        <w:t xml:space="preserve">BULAMU, N., KAAMBWA, B., GILL, L., CAMERON, I., MCKECHNIE, S., FIEBIG, J., GRADY, R. &amp; RATCLIFFE, J. 2017. Impact of consumer-directed care on quality of life in the community aged care sector. </w:t>
      </w:r>
      <w:r w:rsidRPr="006E544F">
        <w:rPr>
          <w:i/>
        </w:rPr>
        <w:t>Geriatrics and Gerontology International,</w:t>
      </w:r>
      <w:r w:rsidRPr="006E544F">
        <w:t xml:space="preserve"> 17</w:t>
      </w:r>
      <w:r w:rsidRPr="006E544F">
        <w:rPr>
          <w:b/>
        </w:rPr>
        <w:t>,</w:t>
      </w:r>
      <w:r w:rsidRPr="006E544F">
        <w:t xml:space="preserve"> 1399-1405.</w:t>
      </w:r>
    </w:p>
    <w:p w:rsidR="002F2633" w:rsidRPr="006E544F" w:rsidRDefault="002F2633" w:rsidP="006E544F">
      <w:pPr>
        <w:pStyle w:val="EndNoteBibliography"/>
        <w:ind w:left="720" w:hanging="720"/>
      </w:pPr>
      <w:r w:rsidRPr="006E544F">
        <w:t xml:space="preserve">CARDONA, B., FINE, M., STEBBING, A., DUNCAN, C., SAMSA, P. &amp; EAGAR, K. 2017. Measuring consumer outcomes: Development and testing of the Australian Community Care Outcomes Measure. </w:t>
      </w:r>
      <w:r w:rsidRPr="006E544F">
        <w:rPr>
          <w:i/>
        </w:rPr>
        <w:t>Australasian journal on ageing,</w:t>
      </w:r>
      <w:r w:rsidRPr="006E544F">
        <w:t xml:space="preserve"> 36</w:t>
      </w:r>
      <w:r w:rsidRPr="006E544F">
        <w:rPr>
          <w:b/>
        </w:rPr>
        <w:t>,</w:t>
      </w:r>
      <w:r w:rsidRPr="006E544F">
        <w:t xml:space="preserve"> 69-71.</w:t>
      </w:r>
    </w:p>
    <w:p w:rsidR="002F2633" w:rsidRPr="006E544F" w:rsidRDefault="002F2633" w:rsidP="006E544F">
      <w:pPr>
        <w:pStyle w:val="EndNoteBibliography"/>
        <w:ind w:left="720" w:hanging="720"/>
      </w:pPr>
      <w:r w:rsidRPr="006E544F">
        <w:t xml:space="preserve">DAY, J., TAYLOR, A. C. T., SUMMONS, P., VAN DER RIET, P., HUNTER, S., MAGUIRE, J., DILWORTH, S., BELLCHAMBERS, H., JEONG, S., HAYDON, G., HARRIS, M. &amp; HIGGINS, I. 2017. Home care packages: insights into the experiences of older people leading up to the introduction of consumer directed care in Australia. </w:t>
      </w:r>
      <w:r w:rsidRPr="006E544F">
        <w:rPr>
          <w:i/>
        </w:rPr>
        <w:t>Australian journal of primary health,</w:t>
      </w:r>
      <w:r w:rsidRPr="006E544F">
        <w:t xml:space="preserve"> 23</w:t>
      </w:r>
      <w:r w:rsidRPr="006E544F">
        <w:rPr>
          <w:b/>
        </w:rPr>
        <w:t>,</w:t>
      </w:r>
      <w:r w:rsidRPr="006E544F">
        <w:t xml:space="preserve"> 162-169.</w:t>
      </w:r>
    </w:p>
    <w:p w:rsidR="002F2633" w:rsidRPr="006E544F" w:rsidRDefault="002F2633" w:rsidP="006E544F">
      <w:pPr>
        <w:pStyle w:val="EndNoteBibliography"/>
        <w:ind w:left="720" w:hanging="720"/>
      </w:pPr>
      <w:r w:rsidRPr="006E544F">
        <w:t xml:space="preserve">DELANEY, L. J. 2018. Patient-centred care as an approach to improving health care in Australia. </w:t>
      </w:r>
      <w:r w:rsidRPr="006E544F">
        <w:rPr>
          <w:i/>
        </w:rPr>
        <w:t>Collegian,</w:t>
      </w:r>
      <w:r w:rsidRPr="006E544F">
        <w:t xml:space="preserve"> 25</w:t>
      </w:r>
      <w:r w:rsidRPr="006E544F">
        <w:rPr>
          <w:b/>
        </w:rPr>
        <w:t>,</w:t>
      </w:r>
      <w:r w:rsidRPr="006E544F">
        <w:t xml:space="preserve"> 119-123.</w:t>
      </w:r>
    </w:p>
    <w:p w:rsidR="002F2633" w:rsidRPr="006E544F" w:rsidRDefault="002F2633" w:rsidP="006E544F">
      <w:pPr>
        <w:pStyle w:val="EndNoteBibliography"/>
        <w:ind w:left="720" w:hanging="720"/>
      </w:pPr>
      <w:r w:rsidRPr="006E544F">
        <w:t>DEPARTMENT OF HEALTH 2017. Legislated review if Aged Care.</w:t>
      </w:r>
    </w:p>
    <w:p w:rsidR="002F2633" w:rsidRPr="006E544F" w:rsidRDefault="002F2633" w:rsidP="006E544F">
      <w:pPr>
        <w:pStyle w:val="EndNoteBibliography"/>
        <w:ind w:left="720" w:hanging="720"/>
      </w:pPr>
      <w:r w:rsidRPr="006E544F">
        <w:t>DEPARTMENT OF HEALTH 2019. Home Care Packages Program Data Report 2nd Quarter 2017-18: 1 October - 31 December 2017.</w:t>
      </w:r>
    </w:p>
    <w:p w:rsidR="002F2633" w:rsidRPr="006E544F" w:rsidRDefault="002F2633" w:rsidP="006E544F">
      <w:pPr>
        <w:pStyle w:val="EndNoteBibliography"/>
        <w:ind w:left="720" w:hanging="720"/>
      </w:pPr>
      <w:r w:rsidRPr="006E544F">
        <w:t xml:space="preserve">DEPARTMENT OF SOCIAL SERVICES. 2015. </w:t>
      </w:r>
      <w:r w:rsidRPr="006E544F">
        <w:rPr>
          <w:i/>
        </w:rPr>
        <w:t xml:space="preserve">Increased choice for older Australians: 2015 Budget Fact Sheet </w:t>
      </w:r>
      <w:r w:rsidRPr="006E544F">
        <w:t xml:space="preserve">[Online]. Available: </w:t>
      </w:r>
      <w:r w:rsidRPr="002F2633">
        <w:t>https://www.dss.gov.au/sites/default/files/documents/05_2015/2015_budget_fact_sheet_-_increasing_choice_for_older_australians.pdf</w:t>
      </w:r>
      <w:r w:rsidRPr="006E544F">
        <w:t xml:space="preserve"> [Accessed 25 May 2019].</w:t>
      </w:r>
    </w:p>
    <w:p w:rsidR="002F2633" w:rsidRPr="006E544F" w:rsidRDefault="002F2633" w:rsidP="006E544F">
      <w:pPr>
        <w:pStyle w:val="EndNoteBibliography"/>
        <w:ind w:left="720" w:hanging="720"/>
      </w:pPr>
      <w:r w:rsidRPr="006E544F">
        <w:t xml:space="preserve">FITZGERALD MURPHY, M. &amp; KELLY, C. 2018. Questioning "choice": A multinational metasynthesis of research on directly funded home-care programs for older people. </w:t>
      </w:r>
      <w:r w:rsidRPr="006E544F">
        <w:rPr>
          <w:i/>
        </w:rPr>
        <w:t>Health &amp; Social Care in the Community,</w:t>
      </w:r>
      <w:r w:rsidRPr="006E544F">
        <w:t xml:space="preserve"> 09</w:t>
      </w:r>
      <w:r w:rsidRPr="006E544F">
        <w:rPr>
          <w:b/>
        </w:rPr>
        <w:t>,</w:t>
      </w:r>
      <w:r w:rsidRPr="006E544F">
        <w:t xml:space="preserve"> 09.</w:t>
      </w:r>
    </w:p>
    <w:p w:rsidR="002F2633" w:rsidRPr="006E544F" w:rsidRDefault="002F2633" w:rsidP="006E544F">
      <w:pPr>
        <w:pStyle w:val="EndNoteBibliography"/>
        <w:ind w:left="720" w:hanging="720"/>
      </w:pPr>
      <w:r w:rsidRPr="006E544F">
        <w:t xml:space="preserve">GILL, L., BRADLEY, S. L., CAMERON, I. D. &amp; RATCLIFFE, J. 2018. How do clients in Australia experience Consumer Directed Care? </w:t>
      </w:r>
      <w:r w:rsidRPr="006E544F">
        <w:rPr>
          <w:i/>
        </w:rPr>
        <w:t>BMC geriatrics,</w:t>
      </w:r>
      <w:r w:rsidRPr="006E544F">
        <w:t xml:space="preserve"> 18</w:t>
      </w:r>
      <w:r w:rsidRPr="006E544F">
        <w:rPr>
          <w:b/>
        </w:rPr>
        <w:t>,</w:t>
      </w:r>
      <w:r w:rsidRPr="006E544F">
        <w:t xml:space="preserve"> 148.</w:t>
      </w:r>
    </w:p>
    <w:p w:rsidR="002F2633" w:rsidRPr="006E544F" w:rsidRDefault="002F2633" w:rsidP="006E544F">
      <w:pPr>
        <w:pStyle w:val="EndNoteBibliography"/>
        <w:ind w:left="720" w:hanging="720"/>
      </w:pPr>
      <w:r w:rsidRPr="006E544F">
        <w:t xml:space="preserve">GINSBURG, M. 2006. Rearranging the deck chairs. </w:t>
      </w:r>
      <w:r w:rsidRPr="006E544F">
        <w:rPr>
          <w:i/>
        </w:rPr>
        <w:t>Health Affairs,</w:t>
      </w:r>
      <w:r w:rsidRPr="006E544F">
        <w:t xml:space="preserve"> 25</w:t>
      </w:r>
      <w:r w:rsidRPr="006E544F">
        <w:rPr>
          <w:b/>
        </w:rPr>
        <w:t>,</w:t>
      </w:r>
      <w:r w:rsidRPr="006E544F">
        <w:t xml:space="preserve"> w537-9.</w:t>
      </w:r>
    </w:p>
    <w:p w:rsidR="002F2633" w:rsidRPr="006E544F" w:rsidRDefault="002F2633" w:rsidP="006E544F">
      <w:pPr>
        <w:pStyle w:val="EndNoteBibliography"/>
        <w:ind w:left="720" w:hanging="720"/>
      </w:pPr>
      <w:r w:rsidRPr="006E544F">
        <w:t xml:space="preserve">JORGENSEN, M. &amp; HADDOCK, R. 2018. The impact of the home care reforms on the older person, the aged care workforce and the wider Health System. Deeble Insititute </w:t>
      </w:r>
    </w:p>
    <w:p w:rsidR="002F2633" w:rsidRPr="006E544F" w:rsidRDefault="002F2633" w:rsidP="006E544F">
      <w:pPr>
        <w:pStyle w:val="EndNoteBibliography"/>
        <w:ind w:left="720" w:hanging="720"/>
      </w:pPr>
      <w:r w:rsidRPr="006E544F">
        <w:t xml:space="preserve">KAAMBWA, B., LANCSAR, E., MCCAFFREY, N., CHEN, G., GILL, L., CAMERON, I. D., CROTTY, M. &amp; RATCLIFFE, J. 2015. Investigating consumers' and informal carers' views and preferences for consumer directed care: A discrete choice experiment. </w:t>
      </w:r>
      <w:r w:rsidRPr="006E544F">
        <w:rPr>
          <w:i/>
        </w:rPr>
        <w:t>Social Science &amp; Medicine,</w:t>
      </w:r>
      <w:r w:rsidRPr="006E544F">
        <w:t xml:space="preserve"> 140</w:t>
      </w:r>
      <w:r w:rsidRPr="006E544F">
        <w:rPr>
          <w:b/>
        </w:rPr>
        <w:t>,</w:t>
      </w:r>
      <w:r w:rsidRPr="006E544F">
        <w:t xml:space="preserve"> 81-94.</w:t>
      </w:r>
    </w:p>
    <w:p w:rsidR="002F2633" w:rsidRPr="006E544F" w:rsidRDefault="002F2633" w:rsidP="006E544F">
      <w:pPr>
        <w:pStyle w:val="EndNoteBibliography"/>
        <w:ind w:left="720" w:hanging="720"/>
      </w:pPr>
      <w:r w:rsidRPr="006E544F">
        <w:lastRenderedPageBreak/>
        <w:t xml:space="preserve">KAINE, S. &amp; GREEN, J. 2013. Outing the Silent Partner: Espousing the Economic Values that Operate in Not-For-Profit Organizations. </w:t>
      </w:r>
      <w:r w:rsidRPr="006E544F">
        <w:rPr>
          <w:i/>
        </w:rPr>
        <w:t>Journal of Business Ethics,</w:t>
      </w:r>
      <w:r w:rsidRPr="006E544F">
        <w:t xml:space="preserve"> 118</w:t>
      </w:r>
      <w:r w:rsidRPr="006E544F">
        <w:rPr>
          <w:b/>
        </w:rPr>
        <w:t>,</w:t>
      </w:r>
      <w:r w:rsidRPr="006E544F">
        <w:t xml:space="preserve"> 215-225.</w:t>
      </w:r>
    </w:p>
    <w:p w:rsidR="002F2633" w:rsidRPr="006E544F" w:rsidRDefault="002F2633" w:rsidP="006E544F">
      <w:pPr>
        <w:pStyle w:val="EndNoteBibliography"/>
        <w:ind w:left="720" w:hanging="720"/>
      </w:pPr>
      <w:r w:rsidRPr="006E544F">
        <w:t>KPMG 2015. Formative evaluation of the Home Care Packages Programme: Detailed findings report.</w:t>
      </w:r>
    </w:p>
    <w:p w:rsidR="002F2633" w:rsidRPr="006E544F" w:rsidRDefault="002F2633" w:rsidP="006E544F">
      <w:pPr>
        <w:pStyle w:val="EndNoteBibliography"/>
        <w:ind w:left="720" w:hanging="720"/>
      </w:pPr>
      <w:r w:rsidRPr="006E544F">
        <w:t xml:space="preserve">LEADING AGE SERVICES AUSTRALIA 2017. Second Home Care Provider Survey Report: Home care package movement across the initial six months of </w:t>
      </w:r>
      <w:r w:rsidRPr="006E544F">
        <w:rPr>
          <w:i/>
        </w:rPr>
        <w:t>Increasing Choice in Home Care</w:t>
      </w:r>
      <w:r w:rsidRPr="006E544F">
        <w:t>.</w:t>
      </w:r>
    </w:p>
    <w:p w:rsidR="002F2633" w:rsidRPr="006E544F" w:rsidRDefault="002F2633" w:rsidP="006E544F">
      <w:pPr>
        <w:pStyle w:val="EndNoteBibliography"/>
        <w:ind w:left="720" w:hanging="720"/>
      </w:pPr>
      <w:r w:rsidRPr="006E544F">
        <w:t>MCCALLUM, J. &amp; REES, K. 2017. Consumer Directed Care in Australia: Early stage analysis and future directions. Brisbane: National Seniors.</w:t>
      </w:r>
    </w:p>
    <w:p w:rsidR="002F2633" w:rsidRPr="006E544F" w:rsidRDefault="002F2633" w:rsidP="006E544F">
      <w:pPr>
        <w:pStyle w:val="EndNoteBibliography"/>
        <w:ind w:left="720" w:hanging="720"/>
      </w:pPr>
      <w:r w:rsidRPr="006E544F">
        <w:t xml:space="preserve">MILES, M. B. &amp; HUBERMAN, A. M. 1994. Data Management and Analysis Methods. </w:t>
      </w:r>
      <w:r w:rsidRPr="006E544F">
        <w:rPr>
          <w:i/>
        </w:rPr>
        <w:t>In:</w:t>
      </w:r>
      <w:r w:rsidRPr="006E544F">
        <w:t xml:space="preserve"> DENZIN, N. &amp; LINCOLN, Y. (eds.) </w:t>
      </w:r>
      <w:r w:rsidRPr="006E544F">
        <w:rPr>
          <w:i/>
        </w:rPr>
        <w:t xml:space="preserve">Handbook of Qualitative Research </w:t>
      </w:r>
      <w:r w:rsidRPr="006E544F">
        <w:t>London Sage Publications.</w:t>
      </w:r>
    </w:p>
    <w:p w:rsidR="002F2633" w:rsidRPr="006E544F" w:rsidRDefault="002F2633" w:rsidP="006E544F">
      <w:pPr>
        <w:pStyle w:val="EndNoteBibliography"/>
        <w:ind w:left="720" w:hanging="720"/>
      </w:pPr>
      <w:r w:rsidRPr="006E544F">
        <w:t xml:space="preserve">OTTMANN, G., ALLEN, J. &amp; FELDMAN, P. 2013. A systematic narrative review of consumer-directed care for older people: Implications for model development. </w:t>
      </w:r>
      <w:r w:rsidRPr="006E544F">
        <w:rPr>
          <w:i/>
        </w:rPr>
        <w:t>Health and Social Care in the Community,</w:t>
      </w:r>
      <w:r w:rsidRPr="006E544F">
        <w:t xml:space="preserve"> 21</w:t>
      </w:r>
      <w:r w:rsidRPr="006E544F">
        <w:rPr>
          <w:b/>
        </w:rPr>
        <w:t>,</w:t>
      </w:r>
      <w:r w:rsidRPr="006E544F">
        <w:t xml:space="preserve"> 563-581.</w:t>
      </w:r>
    </w:p>
    <w:p w:rsidR="002F2633" w:rsidRPr="006E544F" w:rsidRDefault="002F2633" w:rsidP="006E544F">
      <w:pPr>
        <w:pStyle w:val="EndNoteBibliography"/>
        <w:ind w:left="720" w:hanging="720"/>
      </w:pPr>
      <w:r w:rsidRPr="006E544F">
        <w:t xml:space="preserve">RATCLIFFE, J., LANCSAR, E., LUSZCZ, M., CROTTY, M., GRAY, L., PATERSON, J. &amp; CAMERON, I. D. 2014. A health economic model for the development and evaluation of innovations in aged care: an application to consumer-directed care-study protocol. </w:t>
      </w:r>
      <w:r w:rsidRPr="006E544F">
        <w:rPr>
          <w:i/>
        </w:rPr>
        <w:t>BMJ open,</w:t>
      </w:r>
      <w:r w:rsidRPr="006E544F">
        <w:t xml:space="preserve"> 4</w:t>
      </w:r>
      <w:r w:rsidRPr="006E544F">
        <w:rPr>
          <w:b/>
        </w:rPr>
        <w:t>,</w:t>
      </w:r>
      <w:r w:rsidRPr="006E544F">
        <w:t xml:space="preserve"> 1.</w:t>
      </w:r>
    </w:p>
    <w:p w:rsidR="002F2633" w:rsidRPr="006E544F" w:rsidRDefault="002F2633" w:rsidP="006E544F">
      <w:pPr>
        <w:pStyle w:val="EndNoteBibliography"/>
        <w:ind w:left="720" w:hanging="720"/>
      </w:pPr>
      <w:r w:rsidRPr="006E544F">
        <w:t xml:space="preserve">RATHERT, C., WYRWICH, M. D. &amp; BOREN, S. A. 2012. Patient-Centered Care and Outcomes: A Systematic Review of the Literature. </w:t>
      </w:r>
      <w:r w:rsidRPr="006E544F">
        <w:rPr>
          <w:i/>
        </w:rPr>
        <w:t>Medical Care Research and Review,</w:t>
      </w:r>
      <w:r w:rsidRPr="006E544F">
        <w:t xml:space="preserve"> 70</w:t>
      </w:r>
      <w:r w:rsidRPr="006E544F">
        <w:rPr>
          <w:b/>
        </w:rPr>
        <w:t>,</w:t>
      </w:r>
      <w:r w:rsidRPr="006E544F">
        <w:t xml:space="preserve"> 351-379.</w:t>
      </w:r>
    </w:p>
    <w:p w:rsidR="002F2633" w:rsidRPr="006E544F" w:rsidRDefault="002F2633" w:rsidP="006E544F">
      <w:pPr>
        <w:pStyle w:val="EndNoteBibliography"/>
        <w:ind w:left="720" w:hanging="720"/>
      </w:pPr>
      <w:r w:rsidRPr="006E544F">
        <w:t xml:space="preserve">SAVY, P., WARBURTON, J. &amp; HODGKIN, S. 2017. Challenges to the provision of community aged care services across rural Australia: Perceptions of service managers. </w:t>
      </w:r>
      <w:r w:rsidRPr="006E544F">
        <w:rPr>
          <w:i/>
        </w:rPr>
        <w:t>Rural &amp; Remote Health,</w:t>
      </w:r>
      <w:r w:rsidRPr="006E544F">
        <w:t xml:space="preserve"> 17.</w:t>
      </w:r>
    </w:p>
    <w:p w:rsidR="002F2633" w:rsidRPr="006E544F" w:rsidRDefault="002F2633" w:rsidP="006E544F">
      <w:pPr>
        <w:pStyle w:val="EndNoteBibliography"/>
        <w:ind w:left="720" w:hanging="720"/>
      </w:pPr>
      <w:r w:rsidRPr="006E544F">
        <w:t xml:space="preserve">SCIEGAJ, M., CAPITMAN, J. A. &amp; KYRIACOU, C. K. 2004. Consumer-directed community care: race/ethnicity and individual differences in preferences for control. </w:t>
      </w:r>
      <w:r w:rsidRPr="006E544F">
        <w:rPr>
          <w:i/>
        </w:rPr>
        <w:t>Gerontologist,</w:t>
      </w:r>
      <w:r w:rsidRPr="006E544F">
        <w:t xml:space="preserve"> 44</w:t>
      </w:r>
      <w:r w:rsidRPr="006E544F">
        <w:rPr>
          <w:b/>
        </w:rPr>
        <w:t>,</w:t>
      </w:r>
      <w:r w:rsidRPr="006E544F">
        <w:t xml:space="preserve"> 489-99.</w:t>
      </w:r>
    </w:p>
    <w:p w:rsidR="002F2633" w:rsidRPr="006E544F" w:rsidRDefault="002F2633" w:rsidP="006E544F">
      <w:pPr>
        <w:pStyle w:val="EndNoteBibliography"/>
        <w:ind w:left="720" w:hanging="720"/>
      </w:pPr>
      <w:r w:rsidRPr="006E544F">
        <w:t>SIMONS, B., KIMBERLEY, H. &amp; MCCOLL JONES, N. 2016. Adjusting to Consumer Directed Care: The experience of Brotherhood of St Laurence community aged care service users.</w:t>
      </w:r>
    </w:p>
    <w:p w:rsidR="002F2633" w:rsidRPr="006E544F" w:rsidRDefault="002F2633" w:rsidP="006E544F">
      <w:pPr>
        <w:pStyle w:val="EndNoteBibliography"/>
        <w:ind w:left="720" w:hanging="720"/>
      </w:pPr>
      <w:r w:rsidRPr="006E544F">
        <w:t xml:space="preserve">THEOBALD, H., SZEBEHELY, M., SAITO, Y. &amp; ISHIGURO, N. 2018. Marketisation policies in different contexts: Consequences for home-care workers in Germany, Japan and Sweden. </w:t>
      </w:r>
      <w:r w:rsidRPr="006E544F">
        <w:rPr>
          <w:i/>
        </w:rPr>
        <w:t>International Journal of Social Welfare,</w:t>
      </w:r>
      <w:r w:rsidRPr="006E544F">
        <w:t xml:space="preserve"> 27</w:t>
      </w:r>
      <w:r w:rsidRPr="006E544F">
        <w:rPr>
          <w:b/>
        </w:rPr>
        <w:t>,</w:t>
      </w:r>
      <w:r w:rsidRPr="006E544F">
        <w:t xml:space="preserve"> 215-225.</w:t>
      </w:r>
    </w:p>
    <w:p w:rsidR="002F2633" w:rsidRPr="006E544F" w:rsidRDefault="002F2633" w:rsidP="006E544F">
      <w:pPr>
        <w:pStyle w:val="EndNoteBibliography"/>
        <w:ind w:left="720" w:hanging="720"/>
      </w:pPr>
      <w:r w:rsidRPr="006E544F">
        <w:t xml:space="preserve">YEANDLE, S. &amp; UNGERSON, C. 2007. Conceptualizing cash for care: The origins of contemporary debates. </w:t>
      </w:r>
      <w:r w:rsidRPr="006E544F">
        <w:rPr>
          <w:i/>
        </w:rPr>
        <w:t>In:</w:t>
      </w:r>
      <w:r w:rsidRPr="006E544F">
        <w:t xml:space="preserve"> UNGERSON, C. &amp; YEANDLE, S. (eds.) </w:t>
      </w:r>
      <w:r w:rsidRPr="006E544F">
        <w:rPr>
          <w:i/>
        </w:rPr>
        <w:t>Cash for care in developed welfare states.</w:t>
      </w:r>
      <w:r w:rsidRPr="006E544F">
        <w:t xml:space="preserve"> New York: Palgrave Macmillan.</w:t>
      </w:r>
    </w:p>
    <w:p w:rsidR="002F2633" w:rsidRPr="00C203AC" w:rsidRDefault="002F2633">
      <w:pPr>
        <w:rPr>
          <w:b/>
        </w:rPr>
      </w:pPr>
    </w:p>
    <w:p w:rsidR="00554D40" w:rsidRDefault="00554D40"/>
    <w:sectPr w:rsidR="00554D4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E03B91">
      <w:pPr>
        <w:spacing w:line="240" w:lineRule="auto"/>
      </w:pPr>
      <w:r>
        <w:separator/>
      </w:r>
    </w:p>
  </w:endnote>
  <w:endnote w:type="continuationSeparator" w:id="0">
    <w:p w:rsidR="00000000" w:rsidRDefault="00E03B9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New Roman Bold">
    <w:panose1 w:val="02020803070505020304"/>
    <w:charset w:val="00"/>
    <w:family w:val="roman"/>
    <w:notTrueType/>
    <w:pitch w:val="default"/>
  </w:font>
  <w:font w:name="Roboto">
    <w:panose1 w:val="02000000000000000000"/>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2584717"/>
      <w:docPartObj>
        <w:docPartGallery w:val="Page Numbers (Bottom of Page)"/>
        <w:docPartUnique/>
      </w:docPartObj>
    </w:sdtPr>
    <w:sdtEndPr>
      <w:rPr>
        <w:noProof/>
      </w:rPr>
    </w:sdtEndPr>
    <w:sdtContent>
      <w:p w:rsidR="00E701CB" w:rsidRDefault="002F2633">
        <w:pPr>
          <w:pStyle w:val="Footer"/>
          <w:jc w:val="center"/>
        </w:pPr>
        <w:r>
          <w:fldChar w:fldCharType="begin"/>
        </w:r>
        <w:r>
          <w:instrText xml:space="preserve"> PAGE   \* MERGEFORMAT </w:instrText>
        </w:r>
        <w:r>
          <w:fldChar w:fldCharType="separate"/>
        </w:r>
        <w:r w:rsidR="00E03B91">
          <w:rPr>
            <w:noProof/>
          </w:rPr>
          <w:t>20</w:t>
        </w:r>
        <w:r>
          <w:rPr>
            <w:noProof/>
          </w:rPr>
          <w:fldChar w:fldCharType="end"/>
        </w:r>
      </w:p>
    </w:sdtContent>
  </w:sdt>
  <w:p w:rsidR="00E701CB" w:rsidRDefault="00E03B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E03B91">
      <w:pPr>
        <w:spacing w:line="240" w:lineRule="auto"/>
      </w:pPr>
      <w:r>
        <w:separator/>
      </w:r>
    </w:p>
  </w:footnote>
  <w:footnote w:type="continuationSeparator" w:id="0">
    <w:p w:rsidR="00000000" w:rsidRDefault="00E03B9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E54CF5"/>
    <w:multiLevelType w:val="multilevel"/>
    <w:tmpl w:val="3626E144"/>
    <w:lvl w:ilvl="0">
      <w:start w:val="1"/>
      <w:numFmt w:val="decimal"/>
      <w:pStyle w:val="Heading5"/>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2E680DD3"/>
    <w:multiLevelType w:val="hybridMultilevel"/>
    <w:tmpl w:val="15A488CA"/>
    <w:lvl w:ilvl="0" w:tplc="3BEC5670">
      <w:start w:val="1"/>
      <w:numFmt w:val="decimal"/>
      <w:lvlText w:val="%1.1.1.1"/>
      <w:lvlJc w:val="left"/>
      <w:pPr>
        <w:ind w:left="720" w:hanging="360"/>
      </w:pPr>
      <w:rPr>
        <w:rFonts w:ascii="Cambria" w:hAnsi="Cambria" w:hint="default"/>
        <w:b w:val="0"/>
        <w:i/>
        <w:vanish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F2C5C2E"/>
    <w:multiLevelType w:val="hybridMultilevel"/>
    <w:tmpl w:val="C37AB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0D0B63"/>
    <w:multiLevelType w:val="multilevel"/>
    <w:tmpl w:val="414A4030"/>
    <w:lvl w:ilvl="0">
      <w:start w:val="2"/>
      <w:numFmt w:val="decimal"/>
      <w:lvlText w:val="%1"/>
      <w:lvlJc w:val="left"/>
      <w:pPr>
        <w:ind w:left="456" w:hanging="456"/>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4" w15:restartNumberingAfterBreak="0">
    <w:nsid w:val="39901489"/>
    <w:multiLevelType w:val="hybridMultilevel"/>
    <w:tmpl w:val="1352B90E"/>
    <w:lvl w:ilvl="0" w:tplc="A4F6ECD0">
      <w:start w:val="1"/>
      <w:numFmt w:val="decimal"/>
      <w:pStyle w:val="Heading3"/>
      <w:lvlText w:val="%1.1"/>
      <w:lvlJc w:val="left"/>
      <w:pPr>
        <w:ind w:left="720" w:hanging="360"/>
      </w:pPr>
      <w:rPr>
        <w:rFonts w:ascii="Cambria" w:hAnsi="Cambria" w:hint="default"/>
        <w:b/>
        <w:i w:val="0"/>
        <w:vanish w:val="0"/>
        <w:sz w:val="2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DC97BED"/>
    <w:multiLevelType w:val="multilevel"/>
    <w:tmpl w:val="B46AB95C"/>
    <w:lvl w:ilvl="0">
      <w:start w:val="1"/>
      <w:numFmt w:val="decimal"/>
      <w:pStyle w:val="Heading1"/>
      <w:lvlText w:val="%1"/>
      <w:lvlJc w:val="left"/>
      <w:pPr>
        <w:ind w:left="720" w:hanging="360"/>
      </w:pPr>
      <w:rPr>
        <w:rFonts w:ascii="Cambria" w:hAnsi="Cambria" w:hint="default"/>
        <w:b w:val="0"/>
        <w:i w:val="0"/>
        <w:strike w:val="0"/>
        <w:dstrike w:val="0"/>
        <w:vanish w:val="0"/>
        <w:color w:val="auto"/>
        <w:sz w:val="32"/>
        <w:vertAlign w:val="baseline"/>
      </w:rPr>
    </w:lvl>
    <w:lvl w:ilvl="1">
      <w:start w:val="1"/>
      <w:numFmt w:val="decimal"/>
      <w:pStyle w:val="Heading2"/>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4C146F39"/>
    <w:multiLevelType w:val="multilevel"/>
    <w:tmpl w:val="50E8473C"/>
    <w:lvl w:ilvl="0">
      <w:start w:val="4"/>
      <w:numFmt w:val="decimal"/>
      <w:lvlText w:val="%1"/>
      <w:lvlJc w:val="left"/>
      <w:pPr>
        <w:ind w:left="456" w:hanging="456"/>
      </w:pPr>
      <w:rPr>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7" w15:restartNumberingAfterBreak="0">
    <w:nsid w:val="591373F8"/>
    <w:multiLevelType w:val="hybridMultilevel"/>
    <w:tmpl w:val="66C897CA"/>
    <w:lvl w:ilvl="0" w:tplc="08090001">
      <w:start w:val="1"/>
      <w:numFmt w:val="bullet"/>
      <w:lvlText w:val=""/>
      <w:lvlJc w:val="left"/>
      <w:pPr>
        <w:ind w:left="897" w:hanging="360"/>
      </w:pPr>
      <w:rPr>
        <w:rFonts w:ascii="Symbol" w:hAnsi="Symbol" w:hint="default"/>
      </w:rPr>
    </w:lvl>
    <w:lvl w:ilvl="1" w:tplc="08090003" w:tentative="1">
      <w:start w:val="1"/>
      <w:numFmt w:val="bullet"/>
      <w:lvlText w:val="o"/>
      <w:lvlJc w:val="left"/>
      <w:pPr>
        <w:ind w:left="1617" w:hanging="360"/>
      </w:pPr>
      <w:rPr>
        <w:rFonts w:ascii="Courier New" w:hAnsi="Courier New" w:cs="Courier New" w:hint="default"/>
      </w:rPr>
    </w:lvl>
    <w:lvl w:ilvl="2" w:tplc="08090005" w:tentative="1">
      <w:start w:val="1"/>
      <w:numFmt w:val="bullet"/>
      <w:lvlText w:val=""/>
      <w:lvlJc w:val="left"/>
      <w:pPr>
        <w:ind w:left="2337" w:hanging="360"/>
      </w:pPr>
      <w:rPr>
        <w:rFonts w:ascii="Wingdings" w:hAnsi="Wingdings" w:hint="default"/>
      </w:rPr>
    </w:lvl>
    <w:lvl w:ilvl="3" w:tplc="08090001" w:tentative="1">
      <w:start w:val="1"/>
      <w:numFmt w:val="bullet"/>
      <w:lvlText w:val=""/>
      <w:lvlJc w:val="left"/>
      <w:pPr>
        <w:ind w:left="3057" w:hanging="360"/>
      </w:pPr>
      <w:rPr>
        <w:rFonts w:ascii="Symbol" w:hAnsi="Symbol" w:hint="default"/>
      </w:rPr>
    </w:lvl>
    <w:lvl w:ilvl="4" w:tplc="08090003" w:tentative="1">
      <w:start w:val="1"/>
      <w:numFmt w:val="bullet"/>
      <w:lvlText w:val="o"/>
      <w:lvlJc w:val="left"/>
      <w:pPr>
        <w:ind w:left="3777" w:hanging="360"/>
      </w:pPr>
      <w:rPr>
        <w:rFonts w:ascii="Courier New" w:hAnsi="Courier New" w:cs="Courier New" w:hint="default"/>
      </w:rPr>
    </w:lvl>
    <w:lvl w:ilvl="5" w:tplc="08090005" w:tentative="1">
      <w:start w:val="1"/>
      <w:numFmt w:val="bullet"/>
      <w:lvlText w:val=""/>
      <w:lvlJc w:val="left"/>
      <w:pPr>
        <w:ind w:left="4497" w:hanging="360"/>
      </w:pPr>
      <w:rPr>
        <w:rFonts w:ascii="Wingdings" w:hAnsi="Wingdings" w:hint="default"/>
      </w:rPr>
    </w:lvl>
    <w:lvl w:ilvl="6" w:tplc="08090001" w:tentative="1">
      <w:start w:val="1"/>
      <w:numFmt w:val="bullet"/>
      <w:lvlText w:val=""/>
      <w:lvlJc w:val="left"/>
      <w:pPr>
        <w:ind w:left="5217" w:hanging="360"/>
      </w:pPr>
      <w:rPr>
        <w:rFonts w:ascii="Symbol" w:hAnsi="Symbol" w:hint="default"/>
      </w:rPr>
    </w:lvl>
    <w:lvl w:ilvl="7" w:tplc="08090003" w:tentative="1">
      <w:start w:val="1"/>
      <w:numFmt w:val="bullet"/>
      <w:lvlText w:val="o"/>
      <w:lvlJc w:val="left"/>
      <w:pPr>
        <w:ind w:left="5937" w:hanging="360"/>
      </w:pPr>
      <w:rPr>
        <w:rFonts w:ascii="Courier New" w:hAnsi="Courier New" w:cs="Courier New" w:hint="default"/>
      </w:rPr>
    </w:lvl>
    <w:lvl w:ilvl="8" w:tplc="08090005" w:tentative="1">
      <w:start w:val="1"/>
      <w:numFmt w:val="bullet"/>
      <w:lvlText w:val=""/>
      <w:lvlJc w:val="left"/>
      <w:pPr>
        <w:ind w:left="6657" w:hanging="360"/>
      </w:pPr>
      <w:rPr>
        <w:rFonts w:ascii="Wingdings" w:hAnsi="Wingdings" w:hint="default"/>
      </w:rPr>
    </w:lvl>
  </w:abstractNum>
  <w:abstractNum w:abstractNumId="8" w15:restartNumberingAfterBreak="0">
    <w:nsid w:val="5F2B4B80"/>
    <w:multiLevelType w:val="multilevel"/>
    <w:tmpl w:val="09DEFB3A"/>
    <w:lvl w:ilvl="0">
      <w:start w:val="5"/>
      <w:numFmt w:val="decimal"/>
      <w:lvlText w:val="%1"/>
      <w:lvlJc w:val="left"/>
      <w:pPr>
        <w:ind w:left="432" w:hanging="432"/>
      </w:pPr>
      <w:rPr>
        <w:rFonts w:hint="default"/>
        <w:b w:val="0"/>
      </w:rPr>
    </w:lvl>
    <w:lvl w:ilvl="1">
      <w:start w:val="1"/>
      <w:numFmt w:val="decimal"/>
      <w:lvlText w:val="%1.%2"/>
      <w:lvlJc w:val="left"/>
      <w:pPr>
        <w:ind w:left="1440" w:hanging="720"/>
      </w:pPr>
      <w:rPr>
        <w:rFonts w:hint="default"/>
        <w:b w:val="0"/>
      </w:rPr>
    </w:lvl>
    <w:lvl w:ilvl="2">
      <w:start w:val="1"/>
      <w:numFmt w:val="decimal"/>
      <w:lvlText w:val="%1.%2.%3"/>
      <w:lvlJc w:val="left"/>
      <w:pPr>
        <w:ind w:left="2520" w:hanging="1080"/>
      </w:pPr>
      <w:rPr>
        <w:rFonts w:hint="default"/>
        <w:b w:val="0"/>
      </w:rPr>
    </w:lvl>
    <w:lvl w:ilvl="3">
      <w:start w:val="1"/>
      <w:numFmt w:val="decimal"/>
      <w:lvlText w:val="%1.%2.%3.%4"/>
      <w:lvlJc w:val="left"/>
      <w:pPr>
        <w:ind w:left="3240" w:hanging="1080"/>
      </w:pPr>
      <w:rPr>
        <w:rFonts w:hint="default"/>
        <w:b w:val="0"/>
      </w:rPr>
    </w:lvl>
    <w:lvl w:ilvl="4">
      <w:start w:val="1"/>
      <w:numFmt w:val="decimal"/>
      <w:lvlText w:val="%1.%2.%3.%4.%5"/>
      <w:lvlJc w:val="left"/>
      <w:pPr>
        <w:ind w:left="4320" w:hanging="1440"/>
      </w:pPr>
      <w:rPr>
        <w:rFonts w:hint="default"/>
        <w:b w:val="0"/>
      </w:rPr>
    </w:lvl>
    <w:lvl w:ilvl="5">
      <w:start w:val="1"/>
      <w:numFmt w:val="decimal"/>
      <w:lvlText w:val="%1.%2.%3.%4.%5.%6"/>
      <w:lvlJc w:val="left"/>
      <w:pPr>
        <w:ind w:left="5400" w:hanging="1800"/>
      </w:pPr>
      <w:rPr>
        <w:rFonts w:hint="default"/>
        <w:b w:val="0"/>
      </w:rPr>
    </w:lvl>
    <w:lvl w:ilvl="6">
      <w:start w:val="1"/>
      <w:numFmt w:val="decimal"/>
      <w:lvlText w:val="%1.%2.%3.%4.%5.%6.%7"/>
      <w:lvlJc w:val="left"/>
      <w:pPr>
        <w:ind w:left="6480" w:hanging="2160"/>
      </w:pPr>
      <w:rPr>
        <w:rFonts w:hint="default"/>
        <w:b w:val="0"/>
      </w:rPr>
    </w:lvl>
    <w:lvl w:ilvl="7">
      <w:start w:val="1"/>
      <w:numFmt w:val="decimal"/>
      <w:lvlText w:val="%1.%2.%3.%4.%5.%6.%7.%8"/>
      <w:lvlJc w:val="left"/>
      <w:pPr>
        <w:ind w:left="7200" w:hanging="2160"/>
      </w:pPr>
      <w:rPr>
        <w:rFonts w:hint="default"/>
        <w:b w:val="0"/>
      </w:rPr>
    </w:lvl>
    <w:lvl w:ilvl="8">
      <w:start w:val="1"/>
      <w:numFmt w:val="decimal"/>
      <w:lvlText w:val="%1.%2.%3.%4.%5.%6.%7.%8.%9"/>
      <w:lvlJc w:val="left"/>
      <w:pPr>
        <w:ind w:left="8280" w:hanging="2520"/>
      </w:pPr>
      <w:rPr>
        <w:rFonts w:hint="default"/>
        <w:b w:val="0"/>
      </w:rPr>
    </w:lvl>
  </w:abstractNum>
  <w:abstractNum w:abstractNumId="9" w15:restartNumberingAfterBreak="0">
    <w:nsid w:val="666B68BE"/>
    <w:multiLevelType w:val="hybridMultilevel"/>
    <w:tmpl w:val="FBD4B7CE"/>
    <w:lvl w:ilvl="0" w:tplc="9D2AC25C">
      <w:start w:val="1"/>
      <w:numFmt w:val="decimal"/>
      <w:pStyle w:val="Heading4"/>
      <w:lvlText w:val="%1.1.1"/>
      <w:lvlJc w:val="left"/>
      <w:pPr>
        <w:ind w:left="2160" w:hanging="360"/>
      </w:pPr>
      <w:rPr>
        <w:rFonts w:ascii="Cambria" w:hAnsi="Cambria" w:hint="default"/>
        <w:b/>
        <w:i w:val="0"/>
        <w:vanish w:val="0"/>
        <w:sz w:val="24"/>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10" w15:restartNumberingAfterBreak="0">
    <w:nsid w:val="6BF55C49"/>
    <w:multiLevelType w:val="multilevel"/>
    <w:tmpl w:val="6BCE47CE"/>
    <w:lvl w:ilvl="0">
      <w:start w:val="1"/>
      <w:numFmt w:val="decimal"/>
      <w:pStyle w:val="LTU-SectionHeading"/>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72865327"/>
    <w:multiLevelType w:val="hybridMultilevel"/>
    <w:tmpl w:val="D64482DA"/>
    <w:lvl w:ilvl="0" w:tplc="87F6720E">
      <w:start w:val="1"/>
      <w:numFmt w:val="decimal"/>
      <w:pStyle w:val="LTU-Bullets0pt"/>
      <w:lvlText w:val="%1.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 w15:restartNumberingAfterBreak="0">
    <w:nsid w:val="78B17619"/>
    <w:multiLevelType w:val="multilevel"/>
    <w:tmpl w:val="8AC073B8"/>
    <w:lvl w:ilvl="0">
      <w:start w:val="1"/>
      <w:numFmt w:val="decimal"/>
      <w:lvlText w:val="%1."/>
      <w:lvlJc w:val="left"/>
      <w:pPr>
        <w:ind w:left="360" w:hanging="360"/>
      </w:pPr>
      <w:rPr>
        <w:rFonts w:asciiTheme="majorHAnsi" w:hAnsiTheme="majorHAnsi" w:hint="default"/>
        <w:b w:val="0"/>
        <w:i w:val="0"/>
        <w:caps w:val="0"/>
        <w:strike w:val="0"/>
        <w:dstrike w:val="0"/>
        <w:vanish w:val="0"/>
        <w:color w:val="ED7D31" w:themeColor="accent2"/>
        <w:sz w:val="52"/>
        <w:vertAlign w:val="baseline"/>
      </w:rPr>
    </w:lvl>
    <w:lvl w:ilvl="1">
      <w:start w:val="1"/>
      <w:numFmt w:val="lowerLetter"/>
      <w:lvlText w:val="%1%2."/>
      <w:lvlJc w:val="left"/>
      <w:pPr>
        <w:ind w:left="1277" w:hanging="851"/>
      </w:pPr>
      <w:rPr>
        <w:rFonts w:hint="default"/>
      </w:rPr>
    </w:lvl>
    <w:lvl w:ilvl="2">
      <w:start w:val="1"/>
      <w:numFmt w:val="lowerRoman"/>
      <w:lvlText w:val="%3."/>
      <w:lvlJc w:val="right"/>
      <w:pPr>
        <w:ind w:left="1134" w:hanging="283"/>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1"/>
  </w:num>
  <w:num w:numId="2">
    <w:abstractNumId w:val="0"/>
  </w:num>
  <w:num w:numId="3">
    <w:abstractNumId w:val="6"/>
  </w:num>
  <w:num w:numId="4">
    <w:abstractNumId w:val="8"/>
  </w:num>
  <w:num w:numId="5">
    <w:abstractNumId w:val="3"/>
  </w:num>
  <w:num w:numId="6">
    <w:abstractNumId w:val="6"/>
  </w:num>
  <w:num w:numId="7">
    <w:abstractNumId w:val="12"/>
  </w:num>
  <w:num w:numId="8">
    <w:abstractNumId w:val="12"/>
  </w:num>
  <w:num w:numId="9">
    <w:abstractNumId w:val="10"/>
  </w:num>
  <w:num w:numId="10">
    <w:abstractNumId w:val="5"/>
  </w:num>
  <w:num w:numId="11">
    <w:abstractNumId w:val="5"/>
  </w:num>
  <w:num w:numId="12">
    <w:abstractNumId w:val="5"/>
  </w:num>
  <w:num w:numId="13">
    <w:abstractNumId w:val="5"/>
  </w:num>
  <w:num w:numId="14">
    <w:abstractNumId w:val="4"/>
  </w:num>
  <w:num w:numId="15">
    <w:abstractNumId w:val="9"/>
  </w:num>
  <w:num w:numId="16">
    <w:abstractNumId w:val="1"/>
  </w:num>
  <w:num w:numId="17">
    <w:abstractNumId w:val="5"/>
  </w:num>
  <w:num w:numId="18">
    <w:abstractNumId w:val="5"/>
  </w:num>
  <w:num w:numId="19">
    <w:abstractNumId w:val="2"/>
  </w:num>
  <w:num w:numId="20">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Suspended&gt;1&lt;/Suspended&gt;&lt;/ENInstantFormat&gt;"/>
  </w:docVars>
  <w:rsids>
    <w:rsidRoot w:val="002F2633"/>
    <w:rsid w:val="000013C6"/>
    <w:rsid w:val="0001574B"/>
    <w:rsid w:val="000C7E57"/>
    <w:rsid w:val="000D61B7"/>
    <w:rsid w:val="001129C1"/>
    <w:rsid w:val="00151280"/>
    <w:rsid w:val="00180D81"/>
    <w:rsid w:val="001A0F36"/>
    <w:rsid w:val="001E6E52"/>
    <w:rsid w:val="0024101B"/>
    <w:rsid w:val="0029783B"/>
    <w:rsid w:val="002C0095"/>
    <w:rsid w:val="002C1554"/>
    <w:rsid w:val="002D5FBC"/>
    <w:rsid w:val="002F2633"/>
    <w:rsid w:val="002F4CB1"/>
    <w:rsid w:val="003110F5"/>
    <w:rsid w:val="00317012"/>
    <w:rsid w:val="00322AD5"/>
    <w:rsid w:val="00331DB5"/>
    <w:rsid w:val="0033472D"/>
    <w:rsid w:val="0037662C"/>
    <w:rsid w:val="003917D9"/>
    <w:rsid w:val="00405E72"/>
    <w:rsid w:val="00407B5E"/>
    <w:rsid w:val="004173F1"/>
    <w:rsid w:val="00456AD7"/>
    <w:rsid w:val="004642D4"/>
    <w:rsid w:val="0048323E"/>
    <w:rsid w:val="00492C27"/>
    <w:rsid w:val="004E0E96"/>
    <w:rsid w:val="004F3802"/>
    <w:rsid w:val="00510DB0"/>
    <w:rsid w:val="005467C4"/>
    <w:rsid w:val="00554D40"/>
    <w:rsid w:val="005563A4"/>
    <w:rsid w:val="005618B9"/>
    <w:rsid w:val="00564253"/>
    <w:rsid w:val="005755E3"/>
    <w:rsid w:val="005B5E45"/>
    <w:rsid w:val="005C2491"/>
    <w:rsid w:val="005E4C50"/>
    <w:rsid w:val="005E6A5C"/>
    <w:rsid w:val="005F02AB"/>
    <w:rsid w:val="00614890"/>
    <w:rsid w:val="0062402E"/>
    <w:rsid w:val="006B24A5"/>
    <w:rsid w:val="006D25BD"/>
    <w:rsid w:val="006E554E"/>
    <w:rsid w:val="007051AE"/>
    <w:rsid w:val="007352AE"/>
    <w:rsid w:val="00751FD2"/>
    <w:rsid w:val="007900A2"/>
    <w:rsid w:val="00794F94"/>
    <w:rsid w:val="007C1E3F"/>
    <w:rsid w:val="007E45E8"/>
    <w:rsid w:val="007E5555"/>
    <w:rsid w:val="008275F0"/>
    <w:rsid w:val="00835655"/>
    <w:rsid w:val="008A134F"/>
    <w:rsid w:val="00970555"/>
    <w:rsid w:val="00971FF9"/>
    <w:rsid w:val="00976716"/>
    <w:rsid w:val="0098779E"/>
    <w:rsid w:val="009C64E8"/>
    <w:rsid w:val="009C770D"/>
    <w:rsid w:val="009C7759"/>
    <w:rsid w:val="00A20046"/>
    <w:rsid w:val="00A87AD3"/>
    <w:rsid w:val="00AB472B"/>
    <w:rsid w:val="00AD77FD"/>
    <w:rsid w:val="00B57AA1"/>
    <w:rsid w:val="00B930B0"/>
    <w:rsid w:val="00BD7710"/>
    <w:rsid w:val="00BF08DC"/>
    <w:rsid w:val="00C34EDF"/>
    <w:rsid w:val="00C74193"/>
    <w:rsid w:val="00D0725A"/>
    <w:rsid w:val="00D243CF"/>
    <w:rsid w:val="00D2572A"/>
    <w:rsid w:val="00D34796"/>
    <w:rsid w:val="00D67A0F"/>
    <w:rsid w:val="00D81409"/>
    <w:rsid w:val="00D926F2"/>
    <w:rsid w:val="00D96900"/>
    <w:rsid w:val="00DB0401"/>
    <w:rsid w:val="00DE76F0"/>
    <w:rsid w:val="00E03B91"/>
    <w:rsid w:val="00E3355F"/>
    <w:rsid w:val="00E53AD5"/>
    <w:rsid w:val="00E8279A"/>
    <w:rsid w:val="00ED0932"/>
    <w:rsid w:val="00F01425"/>
    <w:rsid w:val="00F44352"/>
    <w:rsid w:val="00F851DD"/>
    <w:rsid w:val="00FD05F7"/>
    <w:rsid w:val="00FE02C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46CF5"/>
  <w15:chartTrackingRefBased/>
  <w15:docId w15:val="{681CA53D-CFF6-4E3F-BD8E-00C8CA902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633"/>
    <w:pPr>
      <w:spacing w:after="0" w:line="360" w:lineRule="auto"/>
      <w:jc w:val="both"/>
    </w:pPr>
    <w:rPr>
      <w:rFonts w:ascii="Cambria" w:eastAsiaTheme="minorEastAsia" w:hAnsi="Cambria"/>
      <w:sz w:val="24"/>
      <w:szCs w:val="24"/>
    </w:rPr>
  </w:style>
  <w:style w:type="paragraph" w:styleId="Heading1">
    <w:name w:val="heading 1"/>
    <w:basedOn w:val="Normal"/>
    <w:next w:val="Normal"/>
    <w:link w:val="Heading1Char"/>
    <w:autoRedefine/>
    <w:uiPriority w:val="9"/>
    <w:qFormat/>
    <w:rsid w:val="002F4CB1"/>
    <w:pPr>
      <w:keepNext/>
      <w:keepLines/>
      <w:numPr>
        <w:numId w:val="11"/>
      </w:numPr>
      <w:autoSpaceDE w:val="0"/>
      <w:autoSpaceDN w:val="0"/>
      <w:adjustRightInd w:val="0"/>
      <w:spacing w:before="100" w:beforeAutospacing="1" w:after="100" w:afterAutospacing="1"/>
      <w:jc w:val="left"/>
      <w:outlineLvl w:val="0"/>
    </w:pPr>
    <w:rPr>
      <w:rFonts w:eastAsiaTheme="majorEastAsia" w:cstheme="majorBidi"/>
      <w:sz w:val="32"/>
      <w:szCs w:val="22"/>
      <w:lang w:eastAsia="en-AU"/>
      <w14:scene3d>
        <w14:camera w14:prst="orthographicFront"/>
        <w14:lightRig w14:rig="threePt" w14:dir="t">
          <w14:rot w14:lat="0" w14:lon="0" w14:rev="0"/>
        </w14:lightRig>
      </w14:scene3d>
    </w:rPr>
  </w:style>
  <w:style w:type="paragraph" w:styleId="Heading2">
    <w:name w:val="heading 2"/>
    <w:basedOn w:val="Normal"/>
    <w:next w:val="Normal"/>
    <w:link w:val="Heading2Char"/>
    <w:autoRedefine/>
    <w:uiPriority w:val="9"/>
    <w:unhideWhenUsed/>
    <w:qFormat/>
    <w:rsid w:val="002F4CB1"/>
    <w:pPr>
      <w:keepNext/>
      <w:keepLines/>
      <w:numPr>
        <w:ilvl w:val="1"/>
        <w:numId w:val="18"/>
      </w:numPr>
      <w:autoSpaceDE w:val="0"/>
      <w:autoSpaceDN w:val="0"/>
      <w:adjustRightInd w:val="0"/>
      <w:spacing w:before="280" w:after="240"/>
      <w:outlineLvl w:val="1"/>
    </w:pPr>
    <w:rPr>
      <w:rFonts w:eastAsiaTheme="majorEastAsia" w:cstheme="majorBidi"/>
      <w:b/>
      <w:sz w:val="26"/>
      <w:szCs w:val="26"/>
      <w:lang w:eastAsia="en-AU"/>
    </w:rPr>
  </w:style>
  <w:style w:type="paragraph" w:styleId="Heading3">
    <w:name w:val="heading 3"/>
    <w:basedOn w:val="Normal"/>
    <w:next w:val="Normal"/>
    <w:link w:val="Heading3Char"/>
    <w:autoRedefine/>
    <w:uiPriority w:val="9"/>
    <w:unhideWhenUsed/>
    <w:qFormat/>
    <w:rsid w:val="002F4CB1"/>
    <w:pPr>
      <w:keepNext/>
      <w:keepLines/>
      <w:numPr>
        <w:numId w:val="14"/>
      </w:numPr>
      <w:spacing w:before="40"/>
      <w:ind w:left="2160"/>
      <w:jc w:val="left"/>
      <w:outlineLvl w:val="2"/>
    </w:pPr>
    <w:rPr>
      <w:rFonts w:eastAsiaTheme="majorEastAsia" w:cstheme="majorBidi"/>
      <w:b/>
    </w:rPr>
  </w:style>
  <w:style w:type="paragraph" w:styleId="Heading4">
    <w:name w:val="heading 4"/>
    <w:basedOn w:val="Normal"/>
    <w:next w:val="Normal"/>
    <w:link w:val="Heading4Char"/>
    <w:autoRedefine/>
    <w:uiPriority w:val="9"/>
    <w:unhideWhenUsed/>
    <w:qFormat/>
    <w:rsid w:val="002F4CB1"/>
    <w:pPr>
      <w:keepNext/>
      <w:keepLines/>
      <w:numPr>
        <w:numId w:val="15"/>
      </w:numPr>
      <w:ind w:left="720"/>
      <w:jc w:val="left"/>
      <w:outlineLvl w:val="3"/>
    </w:pPr>
    <w:rPr>
      <w:rFonts w:eastAsiaTheme="majorEastAsia" w:cstheme="majorBidi"/>
      <w:b/>
      <w:i/>
      <w:iCs/>
      <w:szCs w:val="22"/>
    </w:rPr>
  </w:style>
  <w:style w:type="paragraph" w:styleId="Heading5">
    <w:name w:val="heading 5"/>
    <w:basedOn w:val="Normal"/>
    <w:next w:val="Normal"/>
    <w:link w:val="Heading5Char"/>
    <w:autoRedefine/>
    <w:uiPriority w:val="9"/>
    <w:unhideWhenUsed/>
    <w:qFormat/>
    <w:rsid w:val="00D81409"/>
    <w:pPr>
      <w:keepNext/>
      <w:keepLines/>
      <w:numPr>
        <w:numId w:val="2"/>
      </w:numPr>
      <w:spacing w:before="40"/>
      <w:ind w:left="357" w:hanging="357"/>
      <w:contextualSpacing/>
      <w:jc w:val="left"/>
      <w:outlineLvl w:val="4"/>
    </w:pPr>
    <w:rPr>
      <w:rFonts w:eastAsiaTheme="majorEastAsia" w:cstheme="majorBidi"/>
      <w:b/>
      <w:caps/>
      <w:color w:val="000000" w:themeColor="text1"/>
      <w:sz w:val="22"/>
      <w:szCs w:val="22"/>
    </w:rPr>
  </w:style>
  <w:style w:type="paragraph" w:styleId="Heading6">
    <w:name w:val="heading 6"/>
    <w:basedOn w:val="Normal"/>
    <w:next w:val="Normal"/>
    <w:link w:val="Heading6Char"/>
    <w:uiPriority w:val="9"/>
    <w:unhideWhenUsed/>
    <w:qFormat/>
    <w:rsid w:val="0098779E"/>
    <w:pPr>
      <w:keepNext/>
      <w:keepLines/>
      <w:pBdr>
        <w:bottom w:val="single" w:sz="4" w:space="1" w:color="auto"/>
      </w:pBdr>
      <w:spacing w:line="240" w:lineRule="auto"/>
      <w:jc w:val="center"/>
      <w:outlineLvl w:val="5"/>
    </w:pPr>
    <w:rPr>
      <w:rFonts w:eastAsiaTheme="majorEastAsia" w:cstheme="majorBidi"/>
      <w:sz w:val="5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Normal"/>
    <w:link w:val="QuoteChar"/>
    <w:autoRedefine/>
    <w:uiPriority w:val="29"/>
    <w:qFormat/>
    <w:rsid w:val="002F2633"/>
    <w:pPr>
      <w:spacing w:before="200" w:after="160"/>
      <w:ind w:left="864" w:right="864"/>
    </w:pPr>
    <w:rPr>
      <w:rFonts w:eastAsiaTheme="minorHAnsi" w:cs="Times New Roman"/>
      <w:i/>
      <w:iCs/>
    </w:rPr>
  </w:style>
  <w:style w:type="character" w:customStyle="1" w:styleId="QuoteChar">
    <w:name w:val="Quote Char"/>
    <w:basedOn w:val="DefaultParagraphFont"/>
    <w:link w:val="Quote"/>
    <w:uiPriority w:val="29"/>
    <w:rsid w:val="002F2633"/>
    <w:rPr>
      <w:rFonts w:ascii="Cambria" w:hAnsi="Cambria" w:cs="Times New Roman"/>
      <w:i/>
      <w:iCs/>
      <w:sz w:val="24"/>
      <w:szCs w:val="24"/>
    </w:rPr>
  </w:style>
  <w:style w:type="paragraph" w:styleId="Title">
    <w:name w:val="Title"/>
    <w:basedOn w:val="Normal"/>
    <w:next w:val="Normal"/>
    <w:link w:val="TitleChar"/>
    <w:autoRedefine/>
    <w:uiPriority w:val="10"/>
    <w:qFormat/>
    <w:rsid w:val="002F4CB1"/>
    <w:pPr>
      <w:pBdr>
        <w:bottom w:val="single" w:sz="4" w:space="1" w:color="auto"/>
      </w:pBdr>
      <w:spacing w:line="240" w:lineRule="auto"/>
      <w:ind w:left="720"/>
      <w:contextualSpacing/>
      <w:jc w:val="center"/>
    </w:pPr>
    <w:rPr>
      <w:rFonts w:eastAsiaTheme="majorEastAsia" w:cstheme="majorBidi"/>
      <w:b/>
      <w:spacing w:val="-10"/>
      <w:kern w:val="28"/>
      <w:sz w:val="52"/>
      <w:szCs w:val="56"/>
    </w:rPr>
  </w:style>
  <w:style w:type="character" w:customStyle="1" w:styleId="TitleChar">
    <w:name w:val="Title Char"/>
    <w:basedOn w:val="DefaultParagraphFont"/>
    <w:link w:val="Title"/>
    <w:uiPriority w:val="10"/>
    <w:rsid w:val="002F4CB1"/>
    <w:rPr>
      <w:rFonts w:ascii="Cambria" w:eastAsiaTheme="majorEastAsia" w:hAnsi="Cambria" w:cstheme="majorBidi"/>
      <w:b/>
      <w:spacing w:val="-10"/>
      <w:kern w:val="28"/>
      <w:sz w:val="52"/>
      <w:szCs w:val="56"/>
      <w:lang w:val="en-GB"/>
    </w:rPr>
  </w:style>
  <w:style w:type="character" w:customStyle="1" w:styleId="Heading1Char">
    <w:name w:val="Heading 1 Char"/>
    <w:basedOn w:val="DefaultParagraphFont"/>
    <w:link w:val="Heading1"/>
    <w:uiPriority w:val="9"/>
    <w:rsid w:val="002F4CB1"/>
    <w:rPr>
      <w:rFonts w:ascii="Cambria" w:eastAsiaTheme="majorEastAsia" w:hAnsi="Cambria" w:cstheme="majorBidi"/>
      <w:sz w:val="32"/>
      <w:lang w:val="en-GB" w:eastAsia="en-AU"/>
      <w14:scene3d>
        <w14:camera w14:prst="orthographicFront"/>
        <w14:lightRig w14:rig="threePt" w14:dir="t">
          <w14:rot w14:lat="0" w14:lon="0" w14:rev="0"/>
        </w14:lightRig>
      </w14:scene3d>
    </w:rPr>
  </w:style>
  <w:style w:type="character" w:customStyle="1" w:styleId="Heading2Char">
    <w:name w:val="Heading 2 Char"/>
    <w:basedOn w:val="DefaultParagraphFont"/>
    <w:link w:val="Heading2"/>
    <w:uiPriority w:val="9"/>
    <w:rsid w:val="002F4CB1"/>
    <w:rPr>
      <w:rFonts w:ascii="Cambria" w:eastAsiaTheme="majorEastAsia" w:hAnsi="Cambria" w:cstheme="majorBidi"/>
      <w:b/>
      <w:sz w:val="26"/>
      <w:szCs w:val="26"/>
      <w:lang w:eastAsia="en-AU"/>
    </w:rPr>
  </w:style>
  <w:style w:type="character" w:customStyle="1" w:styleId="Heading3Char">
    <w:name w:val="Heading 3 Char"/>
    <w:basedOn w:val="DefaultParagraphFont"/>
    <w:link w:val="Heading3"/>
    <w:uiPriority w:val="9"/>
    <w:rsid w:val="002F4CB1"/>
    <w:rPr>
      <w:rFonts w:ascii="Cambria" w:eastAsiaTheme="majorEastAsia" w:hAnsi="Cambria" w:cstheme="majorBidi"/>
      <w:b/>
      <w:sz w:val="24"/>
      <w:szCs w:val="24"/>
    </w:rPr>
  </w:style>
  <w:style w:type="character" w:customStyle="1" w:styleId="Heading6Char">
    <w:name w:val="Heading 6 Char"/>
    <w:basedOn w:val="DefaultParagraphFont"/>
    <w:link w:val="Heading6"/>
    <w:uiPriority w:val="9"/>
    <w:rsid w:val="0098779E"/>
    <w:rPr>
      <w:rFonts w:ascii="Cambria" w:eastAsiaTheme="majorEastAsia" w:hAnsi="Cambria" w:cstheme="majorBidi"/>
      <w:sz w:val="52"/>
    </w:rPr>
  </w:style>
  <w:style w:type="paragraph" w:customStyle="1" w:styleId="Title1">
    <w:name w:val="Title1"/>
    <w:basedOn w:val="Normal"/>
    <w:next w:val="Normal"/>
    <w:link w:val="Title1Char"/>
    <w:autoRedefine/>
    <w:qFormat/>
    <w:rsid w:val="00DE76F0"/>
    <w:pPr>
      <w:pBdr>
        <w:bottom w:val="single" w:sz="8" w:space="1" w:color="auto"/>
      </w:pBdr>
      <w:spacing w:line="240" w:lineRule="auto"/>
      <w:contextualSpacing/>
      <w:jc w:val="center"/>
      <w:outlineLvl w:val="0"/>
    </w:pPr>
    <w:rPr>
      <w:rFonts w:eastAsiaTheme="majorEastAsia" w:cstheme="majorBidi"/>
      <w:b/>
      <w:sz w:val="52"/>
      <w:szCs w:val="22"/>
    </w:rPr>
  </w:style>
  <w:style w:type="character" w:customStyle="1" w:styleId="titleChar0">
    <w:name w:val="title Char"/>
    <w:basedOn w:val="Heading6Char"/>
    <w:rsid w:val="00D81409"/>
    <w:rPr>
      <w:rFonts w:ascii="Cambria" w:eastAsiaTheme="majorEastAsia" w:hAnsi="Cambria" w:cstheme="majorBidi"/>
      <w:sz w:val="52"/>
    </w:rPr>
  </w:style>
  <w:style w:type="character" w:customStyle="1" w:styleId="Title1Char">
    <w:name w:val="Title1 Char"/>
    <w:basedOn w:val="Heading6Char"/>
    <w:link w:val="Title1"/>
    <w:rsid w:val="00DE76F0"/>
    <w:rPr>
      <w:rFonts w:ascii="Cambria" w:eastAsiaTheme="majorEastAsia" w:hAnsi="Cambria" w:cstheme="majorBidi"/>
      <w:b/>
      <w:sz w:val="52"/>
    </w:rPr>
  </w:style>
  <w:style w:type="character" w:customStyle="1" w:styleId="Heading5Char">
    <w:name w:val="Heading 5 Char"/>
    <w:basedOn w:val="DefaultParagraphFont"/>
    <w:link w:val="Heading5"/>
    <w:uiPriority w:val="9"/>
    <w:rsid w:val="00D81409"/>
    <w:rPr>
      <w:rFonts w:ascii="Cambria" w:eastAsiaTheme="majorEastAsia" w:hAnsi="Cambria" w:cstheme="majorBidi"/>
      <w:b/>
      <w:caps/>
      <w:color w:val="000000" w:themeColor="text1"/>
    </w:rPr>
  </w:style>
  <w:style w:type="paragraph" w:customStyle="1" w:styleId="sectionheadings">
    <w:name w:val="section headings"/>
    <w:basedOn w:val="Normal"/>
    <w:next w:val="Normal"/>
    <w:autoRedefine/>
    <w:qFormat/>
    <w:rsid w:val="005C2491"/>
    <w:pPr>
      <w:spacing w:line="240" w:lineRule="auto"/>
      <w:jc w:val="left"/>
    </w:pPr>
    <w:rPr>
      <w:b/>
      <w:bCs/>
      <w:caps/>
      <w:sz w:val="32"/>
      <w:szCs w:val="36"/>
    </w:rPr>
  </w:style>
  <w:style w:type="character" w:customStyle="1" w:styleId="Heading4Char">
    <w:name w:val="Heading 4 Char"/>
    <w:basedOn w:val="DefaultParagraphFont"/>
    <w:link w:val="Heading4"/>
    <w:uiPriority w:val="9"/>
    <w:rsid w:val="002F4CB1"/>
    <w:rPr>
      <w:rFonts w:ascii="Cambria" w:eastAsiaTheme="majorEastAsia" w:hAnsi="Cambria" w:cstheme="majorBidi"/>
      <w:b/>
      <w:i/>
      <w:iCs/>
      <w:sz w:val="24"/>
      <w:lang w:val="en-GB"/>
    </w:rPr>
  </w:style>
  <w:style w:type="paragraph" w:styleId="Caption">
    <w:name w:val="caption"/>
    <w:basedOn w:val="Normal"/>
    <w:next w:val="Normal"/>
    <w:uiPriority w:val="35"/>
    <w:unhideWhenUsed/>
    <w:qFormat/>
    <w:rsid w:val="004F3802"/>
    <w:pPr>
      <w:spacing w:after="200" w:line="240" w:lineRule="auto"/>
    </w:pPr>
    <w:rPr>
      <w:b/>
      <w:bCs/>
      <w:sz w:val="18"/>
      <w:szCs w:val="18"/>
      <w:lang w:eastAsia="en-AU"/>
    </w:rPr>
  </w:style>
  <w:style w:type="table" w:styleId="TableGrid">
    <w:name w:val="Table Grid"/>
    <w:basedOn w:val="TableNormal"/>
    <w:uiPriority w:val="39"/>
    <w:rsid w:val="005C2491"/>
    <w:pPr>
      <w:spacing w:after="0" w:line="240" w:lineRule="auto"/>
    </w:pPr>
    <w:tblPr/>
  </w:style>
  <w:style w:type="paragraph" w:styleId="TableofFigures">
    <w:name w:val="table of figures"/>
    <w:basedOn w:val="Normal"/>
    <w:next w:val="Normal"/>
    <w:uiPriority w:val="99"/>
    <w:semiHidden/>
    <w:unhideWhenUsed/>
    <w:rsid w:val="00DE76F0"/>
  </w:style>
  <w:style w:type="paragraph" w:styleId="TOC1">
    <w:name w:val="toc 1"/>
    <w:basedOn w:val="Normal"/>
    <w:next w:val="Normal"/>
    <w:autoRedefine/>
    <w:uiPriority w:val="39"/>
    <w:unhideWhenUsed/>
    <w:rsid w:val="00DE76F0"/>
    <w:pPr>
      <w:spacing w:after="100" w:line="240" w:lineRule="auto"/>
    </w:pPr>
  </w:style>
  <w:style w:type="paragraph" w:customStyle="1" w:styleId="LTU-Bullets0pt">
    <w:name w:val="LTU - Bullets 0pt"/>
    <w:basedOn w:val="Normal"/>
    <w:qFormat/>
    <w:rsid w:val="00E8279A"/>
    <w:pPr>
      <w:numPr>
        <w:numId w:val="1"/>
      </w:numPr>
      <w:spacing w:line="276" w:lineRule="auto"/>
      <w:ind w:left="709" w:right="709" w:hanging="284"/>
      <w:contextualSpacing/>
      <w:jc w:val="left"/>
    </w:pPr>
    <w:rPr>
      <w:rFonts w:ascii="Calibri" w:eastAsia="Times New Roman" w:hAnsi="Calibri" w:cs="Arial"/>
      <w:color w:val="000000"/>
      <w:sz w:val="22"/>
      <w:szCs w:val="18"/>
      <w:lang w:eastAsia="en-AU" w:bidi="en-US"/>
    </w:rPr>
  </w:style>
  <w:style w:type="paragraph" w:styleId="BodyText">
    <w:name w:val="Body Text"/>
    <w:basedOn w:val="Normal"/>
    <w:link w:val="BodyTextChar"/>
    <w:uiPriority w:val="99"/>
    <w:semiHidden/>
    <w:unhideWhenUsed/>
    <w:rsid w:val="00E8279A"/>
    <w:pPr>
      <w:spacing w:after="120"/>
    </w:pPr>
  </w:style>
  <w:style w:type="character" w:customStyle="1" w:styleId="BodyTextChar">
    <w:name w:val="Body Text Char"/>
    <w:basedOn w:val="DefaultParagraphFont"/>
    <w:link w:val="BodyText"/>
    <w:uiPriority w:val="99"/>
    <w:semiHidden/>
    <w:rsid w:val="00E8279A"/>
    <w:rPr>
      <w:rFonts w:ascii="Cambria" w:eastAsiaTheme="minorEastAsia" w:hAnsi="Cambria"/>
      <w:sz w:val="24"/>
      <w:szCs w:val="24"/>
    </w:rPr>
  </w:style>
  <w:style w:type="paragraph" w:customStyle="1" w:styleId="BodyRegular">
    <w:name w:val="Body. Regular"/>
    <w:basedOn w:val="Normal"/>
    <w:link w:val="BodyRegularChar"/>
    <w:autoRedefine/>
    <w:qFormat/>
    <w:rsid w:val="007E5555"/>
    <w:pPr>
      <w:spacing w:after="240"/>
    </w:pPr>
    <w:rPr>
      <w:rFonts w:asciiTheme="minorHAnsi" w:eastAsia="MS Mincho" w:hAnsiTheme="minorHAnsi" w:cs="Calibri"/>
      <w:color w:val="000000"/>
      <w:sz w:val="22"/>
      <w:szCs w:val="22"/>
    </w:rPr>
  </w:style>
  <w:style w:type="character" w:customStyle="1" w:styleId="BodyRegularChar">
    <w:name w:val="Body. Regular Char"/>
    <w:basedOn w:val="DefaultParagraphFont"/>
    <w:link w:val="BodyRegular"/>
    <w:rsid w:val="007E5555"/>
    <w:rPr>
      <w:rFonts w:eastAsia="MS Mincho" w:cs="Calibri"/>
      <w:color w:val="000000"/>
      <w:lang w:val="en-GB"/>
    </w:rPr>
  </w:style>
  <w:style w:type="paragraph" w:customStyle="1" w:styleId="LTU-Subheader2LeftAlign">
    <w:name w:val="LTU - Subheader 2. Left Align"/>
    <w:basedOn w:val="Normal"/>
    <w:next w:val="BodyRegular"/>
    <w:link w:val="LTU-Subheader2LeftAlignChar"/>
    <w:autoRedefine/>
    <w:uiPriority w:val="99"/>
    <w:qFormat/>
    <w:rsid w:val="007E5555"/>
    <w:pPr>
      <w:widowControl w:val="0"/>
      <w:suppressAutoHyphens/>
      <w:autoSpaceDE w:val="0"/>
      <w:autoSpaceDN w:val="0"/>
      <w:adjustRightInd w:val="0"/>
      <w:spacing w:after="120" w:line="240" w:lineRule="auto"/>
      <w:jc w:val="left"/>
      <w:textAlignment w:val="center"/>
    </w:pPr>
    <w:rPr>
      <w:rFonts w:asciiTheme="majorHAnsi" w:eastAsia="MS Mincho" w:hAnsiTheme="majorHAnsi" w:cs="Arial"/>
      <w:bCs/>
      <w:color w:val="4472C4" w:themeColor="accent5"/>
    </w:rPr>
  </w:style>
  <w:style w:type="character" w:customStyle="1" w:styleId="LTU-Subheader2LeftAlignChar">
    <w:name w:val="LTU - Subheader 2. Left Align Char"/>
    <w:basedOn w:val="DefaultParagraphFont"/>
    <w:link w:val="LTU-Subheader2LeftAlign"/>
    <w:uiPriority w:val="99"/>
    <w:rsid w:val="007E5555"/>
    <w:rPr>
      <w:rFonts w:asciiTheme="majorHAnsi" w:eastAsia="MS Mincho" w:hAnsiTheme="majorHAnsi" w:cs="Arial"/>
      <w:bCs/>
      <w:color w:val="4472C4" w:themeColor="accent5"/>
      <w:sz w:val="24"/>
      <w:szCs w:val="24"/>
      <w:lang w:val="en-GB"/>
    </w:rPr>
  </w:style>
  <w:style w:type="paragraph" w:customStyle="1" w:styleId="LTU-SectionHeading">
    <w:name w:val="LTU - Section. Heading."/>
    <w:basedOn w:val="Normal"/>
    <w:next w:val="BodyRegular"/>
    <w:link w:val="LTU-SectionHeadingChar"/>
    <w:autoRedefine/>
    <w:uiPriority w:val="99"/>
    <w:qFormat/>
    <w:rsid w:val="007E5555"/>
    <w:pPr>
      <w:keepNext/>
      <w:keepLines/>
      <w:numPr>
        <w:numId w:val="9"/>
      </w:numPr>
      <w:suppressAutoHyphens/>
      <w:autoSpaceDE w:val="0"/>
      <w:autoSpaceDN w:val="0"/>
      <w:adjustRightInd w:val="0"/>
      <w:spacing w:before="120"/>
      <w:ind w:left="357" w:hanging="357"/>
      <w:contextualSpacing/>
      <w:textAlignment w:val="top"/>
      <w:outlineLvl w:val="0"/>
    </w:pPr>
    <w:rPr>
      <w:rFonts w:asciiTheme="minorHAnsi" w:eastAsiaTheme="minorHAnsi" w:hAnsiTheme="minorHAnsi" w:cs="Georgia"/>
      <w:bCs/>
      <w:color w:val="4472C4" w:themeColor="accent5"/>
      <w:spacing w:val="-25"/>
      <w:sz w:val="52"/>
      <w:szCs w:val="100"/>
      <w:lang w:val="en-US"/>
    </w:rPr>
  </w:style>
  <w:style w:type="character" w:customStyle="1" w:styleId="LTU-SectionHeadingChar">
    <w:name w:val="LTU - Section. Heading. Char"/>
    <w:basedOn w:val="DefaultParagraphFont"/>
    <w:link w:val="LTU-SectionHeading"/>
    <w:uiPriority w:val="99"/>
    <w:rsid w:val="007E5555"/>
    <w:rPr>
      <w:rFonts w:cs="Georgia"/>
      <w:bCs/>
      <w:color w:val="4472C4" w:themeColor="accent5"/>
      <w:spacing w:val="-25"/>
      <w:sz w:val="52"/>
      <w:szCs w:val="100"/>
      <w:lang w:val="en-US"/>
    </w:rPr>
  </w:style>
  <w:style w:type="paragraph" w:customStyle="1" w:styleId="LTU-Subheader1Red">
    <w:name w:val="LTU - Subheader 1. Red"/>
    <w:basedOn w:val="Normal"/>
    <w:next w:val="BodyRegular"/>
    <w:link w:val="LTU-Subheader1RedChar"/>
    <w:autoRedefine/>
    <w:uiPriority w:val="99"/>
    <w:qFormat/>
    <w:rsid w:val="007051AE"/>
    <w:pPr>
      <w:keepNext/>
      <w:keepLines/>
      <w:spacing w:after="120" w:line="240" w:lineRule="auto"/>
      <w:jc w:val="left"/>
    </w:pPr>
    <w:rPr>
      <w:rFonts w:asciiTheme="majorHAnsi" w:eastAsiaTheme="minorHAnsi" w:hAnsiTheme="majorHAnsi"/>
      <w:color w:val="4472C4" w:themeColor="accent5"/>
      <w:sz w:val="28"/>
      <w:szCs w:val="28"/>
    </w:rPr>
  </w:style>
  <w:style w:type="character" w:customStyle="1" w:styleId="LTU-Subheader1RedChar">
    <w:name w:val="LTU - Subheader 1. Red Char"/>
    <w:basedOn w:val="DefaultParagraphFont"/>
    <w:link w:val="LTU-Subheader1Red"/>
    <w:uiPriority w:val="99"/>
    <w:rsid w:val="007051AE"/>
    <w:rPr>
      <w:rFonts w:asciiTheme="majorHAnsi" w:hAnsiTheme="majorHAnsi"/>
      <w:color w:val="4472C4" w:themeColor="accent5"/>
      <w:sz w:val="28"/>
      <w:szCs w:val="28"/>
      <w:lang w:val="en-GB"/>
    </w:rPr>
  </w:style>
  <w:style w:type="paragraph" w:customStyle="1" w:styleId="LTU-QuoteGeorgia">
    <w:name w:val="LTU - Quote. Georgia"/>
    <w:basedOn w:val="Normal"/>
    <w:next w:val="Normal"/>
    <w:link w:val="LTU-QuoteGeorgiaChar"/>
    <w:autoRedefine/>
    <w:uiPriority w:val="99"/>
    <w:qFormat/>
    <w:rsid w:val="007051AE"/>
    <w:pPr>
      <w:spacing w:after="200"/>
      <w:ind w:left="720" w:right="737"/>
    </w:pPr>
    <w:rPr>
      <w:rFonts w:asciiTheme="minorHAnsi" w:eastAsia="MS Mincho" w:hAnsiTheme="minorHAnsi"/>
      <w:color w:val="44546A" w:themeColor="text2"/>
      <w:sz w:val="22"/>
      <w:szCs w:val="28"/>
    </w:rPr>
  </w:style>
  <w:style w:type="character" w:customStyle="1" w:styleId="LTU-QuoteGeorgiaChar">
    <w:name w:val="LTU - Quote. Georgia Char"/>
    <w:basedOn w:val="DefaultParagraphFont"/>
    <w:link w:val="LTU-QuoteGeorgia"/>
    <w:uiPriority w:val="99"/>
    <w:rsid w:val="007051AE"/>
    <w:rPr>
      <w:rFonts w:eastAsia="MS Mincho"/>
      <w:color w:val="44546A" w:themeColor="text2"/>
      <w:szCs w:val="28"/>
      <w:lang w:val="en-GB"/>
    </w:rPr>
  </w:style>
  <w:style w:type="paragraph" w:customStyle="1" w:styleId="LTUCaptionblack">
    <w:name w:val="LTU_Caption. black"/>
    <w:basedOn w:val="Normal"/>
    <w:link w:val="LTUCaptionblackChar"/>
    <w:autoRedefine/>
    <w:uiPriority w:val="99"/>
    <w:qFormat/>
    <w:rsid w:val="007051AE"/>
    <w:pPr>
      <w:framePr w:hSpace="180" w:wrap="around" w:vAnchor="text" w:hAnchor="text" w:y="1"/>
      <w:spacing w:after="240" w:line="220" w:lineRule="exact"/>
      <w:suppressOverlap/>
    </w:pPr>
    <w:rPr>
      <w:rFonts w:asciiTheme="minorHAnsi" w:eastAsia="MS Mincho" w:hAnsiTheme="minorHAnsi"/>
      <w:b/>
      <w:color w:val="000000"/>
      <w:szCs w:val="18"/>
    </w:rPr>
  </w:style>
  <w:style w:type="character" w:customStyle="1" w:styleId="LTUCaptionblackChar">
    <w:name w:val="LTU_Caption. black Char"/>
    <w:basedOn w:val="DefaultParagraphFont"/>
    <w:link w:val="LTUCaptionblack"/>
    <w:uiPriority w:val="99"/>
    <w:rsid w:val="007051AE"/>
    <w:rPr>
      <w:rFonts w:eastAsia="MS Mincho"/>
      <w:b/>
      <w:color w:val="000000"/>
      <w:sz w:val="24"/>
      <w:szCs w:val="18"/>
      <w:lang w:val="en-GB"/>
    </w:rPr>
  </w:style>
  <w:style w:type="paragraph" w:styleId="ListParagraph">
    <w:name w:val="List Paragraph"/>
    <w:basedOn w:val="Normal"/>
    <w:uiPriority w:val="34"/>
    <w:qFormat/>
    <w:rsid w:val="002F2633"/>
    <w:pPr>
      <w:spacing w:after="160"/>
      <w:ind w:left="720"/>
      <w:contextualSpacing/>
      <w:jc w:val="left"/>
    </w:pPr>
    <w:rPr>
      <w:rFonts w:eastAsiaTheme="minorHAnsi"/>
      <w:szCs w:val="22"/>
    </w:rPr>
  </w:style>
  <w:style w:type="character" w:customStyle="1" w:styleId="THESISNormalChar">
    <w:name w:val="THESIS Normal Char"/>
    <w:basedOn w:val="DefaultParagraphFont"/>
    <w:link w:val="THESISNormal"/>
    <w:locked/>
    <w:rsid w:val="002F2633"/>
    <w:rPr>
      <w:lang w:eastAsia="en-AU"/>
    </w:rPr>
  </w:style>
  <w:style w:type="paragraph" w:customStyle="1" w:styleId="THESISNormal">
    <w:name w:val="THESIS Normal"/>
    <w:basedOn w:val="NoSpacing"/>
    <w:link w:val="THESISNormalChar"/>
    <w:qFormat/>
    <w:rsid w:val="002F2633"/>
    <w:pPr>
      <w:spacing w:line="480" w:lineRule="auto"/>
    </w:pPr>
    <w:rPr>
      <w:rFonts w:asciiTheme="minorHAnsi" w:eastAsiaTheme="minorHAnsi" w:hAnsiTheme="minorHAnsi"/>
      <w:sz w:val="22"/>
      <w:szCs w:val="22"/>
      <w:lang w:eastAsia="en-AU"/>
    </w:rPr>
  </w:style>
  <w:style w:type="paragraph" w:styleId="NoSpacing">
    <w:name w:val="No Spacing"/>
    <w:uiPriority w:val="1"/>
    <w:qFormat/>
    <w:rsid w:val="002F2633"/>
    <w:pPr>
      <w:spacing w:after="0" w:line="240" w:lineRule="auto"/>
      <w:jc w:val="both"/>
    </w:pPr>
    <w:rPr>
      <w:rFonts w:ascii="Cambria" w:eastAsiaTheme="minorEastAsia" w:hAnsi="Cambria"/>
      <w:sz w:val="24"/>
      <w:szCs w:val="24"/>
    </w:rPr>
  </w:style>
  <w:style w:type="paragraph" w:styleId="BalloonText">
    <w:name w:val="Balloon Text"/>
    <w:basedOn w:val="Normal"/>
    <w:link w:val="BalloonTextChar"/>
    <w:uiPriority w:val="99"/>
    <w:semiHidden/>
    <w:unhideWhenUsed/>
    <w:rsid w:val="002F263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2633"/>
    <w:rPr>
      <w:rFonts w:ascii="Segoe UI" w:eastAsiaTheme="minorEastAsia" w:hAnsi="Segoe UI" w:cs="Segoe UI"/>
      <w:sz w:val="18"/>
      <w:szCs w:val="18"/>
    </w:rPr>
  </w:style>
  <w:style w:type="paragraph" w:styleId="Header">
    <w:name w:val="header"/>
    <w:basedOn w:val="Normal"/>
    <w:link w:val="HeaderChar"/>
    <w:uiPriority w:val="99"/>
    <w:unhideWhenUsed/>
    <w:rsid w:val="002F2633"/>
    <w:pPr>
      <w:tabs>
        <w:tab w:val="center" w:pos="4513"/>
        <w:tab w:val="right" w:pos="9026"/>
      </w:tabs>
      <w:spacing w:line="240" w:lineRule="auto"/>
    </w:pPr>
  </w:style>
  <w:style w:type="character" w:customStyle="1" w:styleId="HeaderChar">
    <w:name w:val="Header Char"/>
    <w:basedOn w:val="DefaultParagraphFont"/>
    <w:link w:val="Header"/>
    <w:uiPriority w:val="99"/>
    <w:rsid w:val="002F2633"/>
    <w:rPr>
      <w:rFonts w:ascii="Cambria" w:eastAsiaTheme="minorEastAsia" w:hAnsi="Cambria"/>
      <w:sz w:val="24"/>
      <w:szCs w:val="24"/>
    </w:rPr>
  </w:style>
  <w:style w:type="paragraph" w:styleId="Footer">
    <w:name w:val="footer"/>
    <w:basedOn w:val="Normal"/>
    <w:link w:val="FooterChar"/>
    <w:uiPriority w:val="99"/>
    <w:unhideWhenUsed/>
    <w:rsid w:val="002F2633"/>
    <w:pPr>
      <w:tabs>
        <w:tab w:val="center" w:pos="4513"/>
        <w:tab w:val="right" w:pos="9026"/>
      </w:tabs>
      <w:spacing w:line="240" w:lineRule="auto"/>
    </w:pPr>
  </w:style>
  <w:style w:type="character" w:customStyle="1" w:styleId="FooterChar">
    <w:name w:val="Footer Char"/>
    <w:basedOn w:val="DefaultParagraphFont"/>
    <w:link w:val="Footer"/>
    <w:uiPriority w:val="99"/>
    <w:rsid w:val="002F2633"/>
    <w:rPr>
      <w:rFonts w:ascii="Cambria" w:eastAsiaTheme="minorEastAsia" w:hAnsi="Cambria"/>
      <w:sz w:val="24"/>
      <w:szCs w:val="24"/>
    </w:rPr>
  </w:style>
  <w:style w:type="paragraph" w:customStyle="1" w:styleId="EndNoteBibliographyTitle">
    <w:name w:val="EndNote Bibliography Title"/>
    <w:basedOn w:val="Normal"/>
    <w:link w:val="EndNoteBibliographyTitleChar"/>
    <w:rsid w:val="002F2633"/>
    <w:pPr>
      <w:jc w:val="center"/>
    </w:pPr>
    <w:rPr>
      <w:noProof/>
      <w:lang w:val="en-US"/>
    </w:rPr>
  </w:style>
  <w:style w:type="character" w:customStyle="1" w:styleId="EndNoteBibliographyTitleChar">
    <w:name w:val="EndNote Bibliography Title Char"/>
    <w:basedOn w:val="DefaultParagraphFont"/>
    <w:link w:val="EndNoteBibliographyTitle"/>
    <w:rsid w:val="002F2633"/>
    <w:rPr>
      <w:rFonts w:ascii="Cambria" w:eastAsiaTheme="minorEastAsia" w:hAnsi="Cambria"/>
      <w:noProof/>
      <w:sz w:val="24"/>
      <w:szCs w:val="24"/>
      <w:lang w:val="en-US"/>
    </w:rPr>
  </w:style>
  <w:style w:type="paragraph" w:customStyle="1" w:styleId="EndNoteBibliography">
    <w:name w:val="EndNote Bibliography"/>
    <w:basedOn w:val="Normal"/>
    <w:link w:val="EndNoteBibliographyChar"/>
    <w:rsid w:val="002F2633"/>
    <w:pPr>
      <w:spacing w:line="240" w:lineRule="auto"/>
    </w:pPr>
    <w:rPr>
      <w:noProof/>
      <w:lang w:val="en-US"/>
    </w:rPr>
  </w:style>
  <w:style w:type="character" w:customStyle="1" w:styleId="EndNoteBibliographyChar">
    <w:name w:val="EndNote Bibliography Char"/>
    <w:basedOn w:val="DefaultParagraphFont"/>
    <w:link w:val="EndNoteBibliography"/>
    <w:rsid w:val="002F2633"/>
    <w:rPr>
      <w:rFonts w:ascii="Cambria" w:eastAsiaTheme="minorEastAsia" w:hAnsi="Cambria"/>
      <w:noProof/>
      <w:sz w:val="24"/>
      <w:szCs w:val="24"/>
      <w:lang w:val="en-US"/>
    </w:rPr>
  </w:style>
  <w:style w:type="character" w:styleId="Hyperlink">
    <w:name w:val="Hyperlink"/>
    <w:basedOn w:val="DefaultParagraphFont"/>
    <w:uiPriority w:val="99"/>
    <w:unhideWhenUsed/>
    <w:rsid w:val="002F263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5058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savy@latrobe.edu.a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hodgkin@latrobe.edu.a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a.mahoney@latrobe.edu.au" TargetMode="External"/><Relationship Id="rId4" Type="http://schemas.openxmlformats.org/officeDocument/2006/relationships/webSettings" Target="webSettings.xml"/><Relationship Id="rId9" Type="http://schemas.openxmlformats.org/officeDocument/2006/relationships/hyperlink" Target="mailto:s.clune@latrobe.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23</Pages>
  <Words>7794</Words>
  <Characters>44428</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
    </vt:vector>
  </TitlesOfParts>
  <Company>La Trobe University</Company>
  <LinksUpToDate>false</LinksUpToDate>
  <CharactersWithSpaces>52118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Clune</dc:creator>
  <cp:keywords/>
  <dc:description/>
  <cp:lastModifiedBy>Suzanne Hodgkin</cp:lastModifiedBy>
  <cp:revision>3</cp:revision>
  <dcterms:created xsi:type="dcterms:W3CDTF">2019-05-28T04:13:00Z</dcterms:created>
  <dcterms:modified xsi:type="dcterms:W3CDTF">2019-05-28T04:26:00Z</dcterms:modified>
</cp:coreProperties>
</file>